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0B1A" w:rsidRDefault="00350089">
      <w:pPr>
        <w:pStyle w:val="BodyText"/>
        <w:rPr>
          <w:sz w:val="20"/>
        </w:rPr>
      </w:pPr>
      <w:r w:rsidRPr="00350089">
        <w:rPr>
          <w:noProof/>
          <w:sz w:val="20"/>
          <w:lang w:val="mk-MK" w:eastAsia="mk-MK"/>
        </w:rPr>
        <w:drawing>
          <wp:inline distT="0" distB="0" distL="0" distR="0">
            <wp:extent cx="5579745" cy="1440937"/>
            <wp:effectExtent l="0" t="0" r="1905" b="6985"/>
            <wp:docPr id="1" name="0 - Εικόνα" descr="GR - VEHICLE - conse-pp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 - VEHICLE - conse-pp  logo.jpg"/>
                    <pic:cNvPicPr/>
                  </pic:nvPicPr>
                  <pic:blipFill>
                    <a:blip r:embed="rId7" cstate="print"/>
                    <a:stretch>
                      <a:fillRect/>
                    </a:stretch>
                  </pic:blipFill>
                  <pic:spPr>
                    <a:xfrm>
                      <a:off x="0" y="0"/>
                      <a:ext cx="5579745" cy="1440937"/>
                    </a:xfrm>
                    <a:prstGeom prst="rect">
                      <a:avLst/>
                    </a:prstGeom>
                  </pic:spPr>
                </pic:pic>
              </a:graphicData>
            </a:graphic>
          </wp:inline>
        </w:drawing>
      </w:r>
    </w:p>
    <w:p w:rsidR="00C70B1A" w:rsidRDefault="00C70B1A">
      <w:pPr>
        <w:pStyle w:val="BodyText"/>
        <w:rPr>
          <w:sz w:val="20"/>
        </w:rPr>
      </w:pPr>
    </w:p>
    <w:p w:rsidR="00C70B1A" w:rsidRDefault="00C70B1A">
      <w:pPr>
        <w:pStyle w:val="BodyText"/>
        <w:rPr>
          <w:sz w:val="20"/>
        </w:rPr>
      </w:pPr>
    </w:p>
    <w:p w:rsidR="00C70B1A" w:rsidRDefault="00C70B1A">
      <w:pPr>
        <w:pStyle w:val="BodyText"/>
        <w:rPr>
          <w:sz w:val="20"/>
        </w:rPr>
      </w:pPr>
    </w:p>
    <w:p w:rsidR="00C70B1A" w:rsidRDefault="00C70B1A">
      <w:pPr>
        <w:pStyle w:val="BodyText"/>
        <w:spacing w:before="2"/>
        <w:rPr>
          <w:sz w:val="17"/>
        </w:rPr>
      </w:pPr>
    </w:p>
    <w:p w:rsidR="00C70B1A" w:rsidRDefault="007A5367">
      <w:pPr>
        <w:pStyle w:val="Heading1"/>
        <w:spacing w:before="89"/>
      </w:pPr>
      <w:r>
        <w:t>SUPPLY CONTRACT NOTICE</w:t>
      </w:r>
    </w:p>
    <w:p w:rsidR="00C70B1A" w:rsidRDefault="007A5367">
      <w:pPr>
        <w:pStyle w:val="Heading2"/>
        <w:spacing w:before="201" w:line="537" w:lineRule="auto"/>
        <w:ind w:left="1895" w:right="1862" w:firstLine="1066"/>
      </w:pPr>
      <w:r>
        <w:t>Equipment for Exhibition Centre Municipality of Debrca, Republic of North Macedonia</w:t>
      </w:r>
    </w:p>
    <w:p w:rsidR="00C70B1A" w:rsidRDefault="00C70B1A">
      <w:pPr>
        <w:pStyle w:val="BodyText"/>
        <w:spacing w:before="10"/>
        <w:rPr>
          <w:b/>
          <w:sz w:val="30"/>
        </w:rPr>
      </w:pPr>
    </w:p>
    <w:p w:rsidR="00C70B1A" w:rsidRDefault="007A5367">
      <w:pPr>
        <w:pStyle w:val="ListParagraph"/>
        <w:numPr>
          <w:ilvl w:val="0"/>
          <w:numId w:val="5"/>
        </w:numPr>
        <w:tabs>
          <w:tab w:val="left" w:pos="844"/>
          <w:tab w:val="left" w:pos="845"/>
        </w:tabs>
        <w:spacing w:before="0"/>
        <w:ind w:hanging="426"/>
        <w:jc w:val="left"/>
        <w:rPr>
          <w:b/>
          <w:sz w:val="24"/>
        </w:rPr>
      </w:pPr>
      <w:r>
        <w:rPr>
          <w:b/>
          <w:sz w:val="24"/>
        </w:rPr>
        <w:t>Publication</w:t>
      </w:r>
      <w:r w:rsidR="00C5364E">
        <w:rPr>
          <w:b/>
          <w:sz w:val="24"/>
        </w:rPr>
        <w:t xml:space="preserve"> </w:t>
      </w:r>
      <w:r>
        <w:rPr>
          <w:b/>
          <w:sz w:val="24"/>
        </w:rPr>
        <w:t>reference</w:t>
      </w:r>
    </w:p>
    <w:p w:rsidR="00C70B1A" w:rsidRDefault="007A5367">
      <w:pPr>
        <w:pStyle w:val="BodyText"/>
        <w:spacing w:before="196"/>
        <w:ind w:left="844"/>
      </w:pPr>
      <w:r>
        <w:t>CONSE-PP-CN1-SO2.3-SC035-03-1516/1</w:t>
      </w:r>
    </w:p>
    <w:p w:rsidR="00C70B1A" w:rsidRDefault="007A5367">
      <w:pPr>
        <w:pStyle w:val="Heading2"/>
        <w:numPr>
          <w:ilvl w:val="0"/>
          <w:numId w:val="5"/>
        </w:numPr>
        <w:tabs>
          <w:tab w:val="left" w:pos="844"/>
          <w:tab w:val="left" w:pos="845"/>
        </w:tabs>
        <w:spacing w:before="204"/>
        <w:ind w:hanging="426"/>
        <w:jc w:val="left"/>
      </w:pPr>
      <w:r>
        <w:t>Procedure</w:t>
      </w:r>
    </w:p>
    <w:p w:rsidR="00C70B1A" w:rsidRDefault="007A5367">
      <w:pPr>
        <w:pStyle w:val="BodyText"/>
        <w:spacing w:before="196"/>
        <w:ind w:left="844"/>
      </w:pPr>
      <w:r>
        <w:t>Simplified procedure</w:t>
      </w:r>
    </w:p>
    <w:p w:rsidR="00C70B1A" w:rsidRDefault="007A5367">
      <w:pPr>
        <w:pStyle w:val="Heading2"/>
        <w:numPr>
          <w:ilvl w:val="0"/>
          <w:numId w:val="5"/>
        </w:numPr>
        <w:tabs>
          <w:tab w:val="left" w:pos="844"/>
          <w:tab w:val="left" w:pos="845"/>
        </w:tabs>
        <w:spacing w:before="204"/>
        <w:ind w:hanging="426"/>
        <w:jc w:val="left"/>
      </w:pPr>
      <w:r>
        <w:t>Programme</w:t>
      </w:r>
      <w:r w:rsidR="00350089">
        <w:t xml:space="preserve"> </w:t>
      </w:r>
      <w:r>
        <w:t>title</w:t>
      </w:r>
    </w:p>
    <w:p w:rsidR="00C70B1A" w:rsidRDefault="007A5367" w:rsidP="00FF5521">
      <w:pPr>
        <w:pStyle w:val="BodyText"/>
        <w:spacing w:before="199"/>
        <w:ind w:left="616" w:right="114"/>
        <w:jc w:val="both"/>
      </w:pPr>
      <w:r>
        <w:t>Interreg IPA Cross-border Cooperation Programme Greece-Republic of North Macedonia 2014-2020</w:t>
      </w:r>
    </w:p>
    <w:p w:rsidR="00C70B1A" w:rsidRDefault="007A5367">
      <w:pPr>
        <w:pStyle w:val="ListParagraph"/>
        <w:numPr>
          <w:ilvl w:val="0"/>
          <w:numId w:val="5"/>
        </w:numPr>
        <w:tabs>
          <w:tab w:val="left" w:pos="844"/>
          <w:tab w:val="left" w:pos="845"/>
        </w:tabs>
        <w:spacing w:before="204"/>
        <w:ind w:hanging="426"/>
        <w:jc w:val="left"/>
        <w:rPr>
          <w:b/>
          <w:sz w:val="24"/>
        </w:rPr>
      </w:pPr>
      <w:r>
        <w:rPr>
          <w:b/>
          <w:sz w:val="24"/>
        </w:rPr>
        <w:t>Financing</w:t>
      </w:r>
    </w:p>
    <w:p w:rsidR="00C70B1A" w:rsidRDefault="00350089">
      <w:pPr>
        <w:pStyle w:val="BodyText"/>
        <w:spacing w:before="199"/>
        <w:ind w:left="616" w:right="114"/>
        <w:jc w:val="both"/>
      </w:pPr>
      <w:r>
        <w:t xml:space="preserve">The </w:t>
      </w:r>
      <w:r w:rsidRPr="001C5578">
        <w:t xml:space="preserve">Equipment for the Exhibition Centre is </w:t>
      </w:r>
      <w:r>
        <w:t xml:space="preserve">part of </w:t>
      </w:r>
      <w:r w:rsidRPr="001C5578">
        <w:t>the Deliverable 4.3.2 of the project “Conse-pp”.</w:t>
      </w:r>
      <w:r>
        <w:t xml:space="preserve"> </w:t>
      </w:r>
      <w:r w:rsidR="007A5367">
        <w:t xml:space="preserve">The project is co-funded by the European Union and by National Funds of the Countries participating in the Interreg IPA CBC Programme “Greece – Republic of North </w:t>
      </w:r>
      <w:r w:rsidR="00FF5521">
        <w:t>Macedonia 2014</w:t>
      </w:r>
      <w:r w:rsidR="007A5367">
        <w:t>-2020”</w:t>
      </w:r>
    </w:p>
    <w:p w:rsidR="00C70B1A" w:rsidRDefault="007A5367">
      <w:pPr>
        <w:pStyle w:val="BodyText"/>
        <w:spacing w:before="191"/>
        <w:ind w:left="616"/>
      </w:pPr>
      <w:r>
        <w:t>CN1-SO2.3-SC035</w:t>
      </w:r>
    </w:p>
    <w:p w:rsidR="00C70B1A" w:rsidRDefault="007A5367">
      <w:pPr>
        <w:pStyle w:val="BodyText"/>
        <w:spacing w:before="196"/>
        <w:ind w:left="616"/>
        <w:jc w:val="both"/>
      </w:pPr>
      <w:r>
        <w:t>Budget line: Del. 4.3.2</w:t>
      </w:r>
    </w:p>
    <w:p w:rsidR="00C70B1A" w:rsidRDefault="007A5367">
      <w:pPr>
        <w:pStyle w:val="Heading2"/>
        <w:numPr>
          <w:ilvl w:val="0"/>
          <w:numId w:val="5"/>
        </w:numPr>
        <w:tabs>
          <w:tab w:val="left" w:pos="844"/>
          <w:tab w:val="left" w:pos="845"/>
        </w:tabs>
        <w:ind w:hanging="426"/>
        <w:jc w:val="left"/>
      </w:pPr>
      <w:r>
        <w:t>Contracting</w:t>
      </w:r>
      <w:r w:rsidR="00350089">
        <w:t xml:space="preserve"> </w:t>
      </w:r>
      <w:r>
        <w:t>authority</w:t>
      </w:r>
    </w:p>
    <w:p w:rsidR="00C70B1A" w:rsidRDefault="007A5367">
      <w:pPr>
        <w:pStyle w:val="BodyText"/>
        <w:spacing w:before="195"/>
        <w:ind w:left="779"/>
      </w:pPr>
      <w:r>
        <w:t>Municipality of Debrca, Republic of North Macedonia</w:t>
      </w:r>
    </w:p>
    <w:p w:rsidR="00C70B1A" w:rsidRDefault="00C70B1A">
      <w:pPr>
        <w:pStyle w:val="BodyText"/>
        <w:rPr>
          <w:sz w:val="24"/>
        </w:rPr>
      </w:pPr>
    </w:p>
    <w:p w:rsidR="00C70B1A" w:rsidRDefault="007A5367">
      <w:pPr>
        <w:pStyle w:val="Heading1"/>
        <w:ind w:left="3000" w:right="0"/>
        <w:jc w:val="left"/>
      </w:pPr>
      <w:r>
        <w:t>CONTRACT SPECIFICATIONS</w:t>
      </w:r>
    </w:p>
    <w:p w:rsidR="00C70B1A" w:rsidRDefault="007A5367">
      <w:pPr>
        <w:pStyle w:val="Heading2"/>
        <w:numPr>
          <w:ilvl w:val="0"/>
          <w:numId w:val="5"/>
        </w:numPr>
        <w:tabs>
          <w:tab w:val="left" w:pos="844"/>
          <w:tab w:val="left" w:pos="845"/>
        </w:tabs>
        <w:ind w:hanging="426"/>
        <w:jc w:val="left"/>
      </w:pPr>
      <w:r>
        <w:t>Description of the contract</w:t>
      </w:r>
    </w:p>
    <w:p w:rsidR="00C70B1A" w:rsidRDefault="007A5367" w:rsidP="000C03C7">
      <w:pPr>
        <w:pStyle w:val="BodyText"/>
        <w:spacing w:before="184"/>
        <w:ind w:left="844" w:right="111"/>
        <w:jc w:val="both"/>
      </w:pPr>
      <w:r>
        <w:t>Within the project CONSE-PP, the Municipality of Debrca, Project Beneficiary 3, under the working package 4 which relates to the development of conservation structures should have equipped the exhibition centre, redeveloped within the project. The aim of this equipment is enabling preconditions for proper functioning of the Exhibition Centre</w:t>
      </w:r>
    </w:p>
    <w:p w:rsidR="00C70B1A" w:rsidRDefault="00C70B1A" w:rsidP="000C03C7">
      <w:pPr>
        <w:pStyle w:val="BodyText"/>
        <w:spacing w:before="184"/>
        <w:ind w:left="844" w:right="111"/>
        <w:jc w:val="both"/>
        <w:sectPr w:rsidR="00C70B1A">
          <w:footerReference w:type="default" r:id="rId8"/>
          <w:type w:val="continuous"/>
          <w:pgSz w:w="11910" w:h="16840"/>
          <w:pgMar w:top="1440" w:right="1300" w:bottom="1020" w:left="1280" w:header="720" w:footer="839" w:gutter="0"/>
          <w:pgNumType w:start="1"/>
          <w:cols w:space="720"/>
        </w:sectPr>
      </w:pPr>
    </w:p>
    <w:p w:rsidR="00C70B1A" w:rsidRDefault="00C5364E" w:rsidP="000C03C7">
      <w:pPr>
        <w:pStyle w:val="BodyText"/>
        <w:spacing w:before="184"/>
        <w:ind w:left="844" w:right="111"/>
        <w:jc w:val="both"/>
      </w:pPr>
      <w:r>
        <w:rPr>
          <w:noProof/>
          <w:lang w:val="mk-MK" w:eastAsia="mk-MK"/>
        </w:rPr>
        <w:lastRenderedPageBreak/>
        <mc:AlternateContent>
          <mc:Choice Requires="wpg">
            <w:drawing>
              <wp:anchor distT="0" distB="0" distL="114300" distR="114300" simplePos="0" relativeHeight="15729664" behindDoc="0" locked="0" layoutInCell="1" allowOverlap="1">
                <wp:simplePos x="0" y="0"/>
                <wp:positionH relativeFrom="page">
                  <wp:posOffset>1088390</wp:posOffset>
                </wp:positionH>
                <wp:positionV relativeFrom="page">
                  <wp:posOffset>2963545</wp:posOffset>
                </wp:positionV>
                <wp:extent cx="5965825" cy="35560"/>
                <wp:effectExtent l="0" t="0" r="15875" b="21590"/>
                <wp:wrapNone/>
                <wp:docPr id="1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825" cy="35560"/>
                          <a:chOff x="1714" y="4667"/>
                          <a:chExt cx="9395" cy="56"/>
                        </a:xfrm>
                      </wpg:grpSpPr>
                      <wps:wsp>
                        <wps:cNvPr id="13" name="Line 12"/>
                        <wps:cNvCnPr>
                          <a:cxnSpLocks noChangeShapeType="1"/>
                        </wps:cNvCnPr>
                        <wps:spPr bwMode="auto">
                          <a:xfrm>
                            <a:off x="1732" y="4685"/>
                            <a:ext cx="9360" cy="1"/>
                          </a:xfrm>
                          <a:prstGeom prst="line">
                            <a:avLst/>
                          </a:prstGeom>
                          <a:noFill/>
                          <a:ln w="22225">
                            <a:solidFill>
                              <a:srgbClr val="808080"/>
                            </a:solidFill>
                            <a:prstDash val="solid"/>
                            <a:round/>
                            <a:headEnd/>
                            <a:tailEnd/>
                          </a:ln>
                          <a:extLst>
                            <a:ext uri="{909E8E84-426E-40DD-AFC4-6F175D3DCCD1}">
                              <a14:hiddenFill xmlns:a14="http://schemas.microsoft.com/office/drawing/2010/main">
                                <a:noFill/>
                              </a14:hiddenFill>
                            </a:ext>
                          </a:extLst>
                        </wps:spPr>
                        <wps:bodyPr/>
                      </wps:wsp>
                      <wps:wsp>
                        <wps:cNvPr id="14" name="Line 11"/>
                        <wps:cNvCnPr>
                          <a:cxnSpLocks noChangeShapeType="1"/>
                        </wps:cNvCnPr>
                        <wps:spPr bwMode="auto">
                          <a:xfrm>
                            <a:off x="1732" y="4705"/>
                            <a:ext cx="9360" cy="1"/>
                          </a:xfrm>
                          <a:prstGeom prst="line">
                            <a:avLst/>
                          </a:prstGeom>
                          <a:noFill/>
                          <a:ln w="22225">
                            <a:solidFill>
                              <a:srgbClr val="D3D3D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9DF5B99" id="Group 10" o:spid="_x0000_s1026" style="position:absolute;margin-left:85.7pt;margin-top:233.35pt;width:469.75pt;height:2.8pt;z-index:15729664;mso-position-horizontal-relative:page;mso-position-vertical-relative:page" coordorigin="1714,4667" coordsize="9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">
                <v:line id="Line 12" o:spid="_x0000_s1027" style="position:absolute;visibility:visible;mso-wrap-style:square" from="1732,4685" to="11092,46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FJYisIAAADbAAAADwAAAGRycy9kb3ducmV2LnhtbERP32vCMBB+H/g/hBP2NlMdyKhGEYsi&#10;uD2sG+Lj0ZxNsbmUJNb63y+Dwd7u4/t5y/VgW9GTD41jBdNJBoK4crrhWsH31+7lDUSIyBpbx6Tg&#10;QQHWq9HTEnPt7vxJfRlrkUI45KjAxNjlUobKkMUwcR1x4i7OW4wJ+lpqj/cUbls5y7K5tNhwajDY&#10;0dZQdS1vVsHQF/tjUej389Vs/GmuZx+7cq/U83jYLEBEGuK/+M990Gn+K/z+kg6Qqx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FJYisIAAADbAAAADwAAAAAAAAAAAAAA&#10;AAChAgAAZHJzL2Rvd25yZXYueG1sUEsFBgAAAAAEAAQA+QAAAJADAAAAAA==&#10;" strokecolor="gray" strokeweight="1.75pt"/>
                <v:line id="Line 11" o:spid="_x0000_s1028" style="position:absolute;visibility:visible;mso-wrap-style:square" from="1732,4705" to="11092,4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yxcIAAADbAAAADwAAAGRycy9kb3ducmV2LnhtbERP22oCMRB9F/yHMIIvolmliq5GKUWl&#10;Cj54+YBhM3vRzWTZxHXbr28Khb7N4VxntWlNKRqqXWFZwXgUgSBOrC44U3C77oZzEM4jaywtk4Iv&#10;crBZdzsrjLV98Zmai89ECGEXo4Lc+yqW0iU5GXQjWxEHLrW1QR9gnUld4yuEm1JOomgmDRYcGnKs&#10;6COn5HF5GgX39PswbcY6PSyK7fF4mg32GQ2U6vfa9yUIT63/F/+5P3WY/wa/v4QD5Po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fyxcIAAADbAAAADwAAAAAAAAAAAAAA&#10;AAChAgAAZHJzL2Rvd25yZXYueG1sUEsFBgAAAAAEAAQA+QAAAJADAAAAAA==&#10;" strokecolor="#d3d3d3" strokeweight="1.75pt"/>
                <w10:wrap anchorx="page" anchory="page"/>
              </v:group>
            </w:pict>
          </mc:Fallback>
        </mc:AlternateContent>
      </w:r>
      <w:r w:rsidR="007A5367">
        <w:t>for presenting the local flora from the Belchisko Swamp. The equipment specification has been approved during the project application phase, thus this contract notice is based on the JTS approval. The procedure consists of two lots, since one part of the equipment refers to the equipping the exhibition centre with furniture, while the other part of the equipment refers to the equipping the centre with computer, video and other technical equipment. More details are presented in the specification itself.</w:t>
      </w:r>
    </w:p>
    <w:p w:rsidR="00C70B1A" w:rsidRDefault="007A5367">
      <w:pPr>
        <w:pStyle w:val="Heading2"/>
        <w:numPr>
          <w:ilvl w:val="0"/>
          <w:numId w:val="5"/>
        </w:numPr>
        <w:tabs>
          <w:tab w:val="left" w:pos="844"/>
          <w:tab w:val="left" w:pos="845"/>
        </w:tabs>
        <w:spacing w:before="206"/>
        <w:ind w:hanging="426"/>
        <w:jc w:val="left"/>
      </w:pPr>
      <w:r>
        <w:t>Number and titles oflots</w:t>
      </w:r>
    </w:p>
    <w:p w:rsidR="00C70B1A" w:rsidRDefault="007A5367">
      <w:pPr>
        <w:pStyle w:val="BodyText"/>
        <w:spacing w:before="194"/>
        <w:ind w:left="844"/>
      </w:pPr>
      <w:r>
        <w:t>Lot 01: Equipping with Furniture</w:t>
      </w:r>
    </w:p>
    <w:p w:rsidR="00C70B1A" w:rsidRDefault="007A5367">
      <w:pPr>
        <w:pStyle w:val="BodyText"/>
        <w:spacing w:before="201"/>
        <w:ind w:left="844"/>
      </w:pPr>
      <w:r>
        <w:t>Lot 02: Computer, video and other equipment</w:t>
      </w:r>
    </w:p>
    <w:p w:rsidR="00C70B1A" w:rsidRDefault="00C70B1A">
      <w:pPr>
        <w:pStyle w:val="BodyText"/>
        <w:rPr>
          <w:sz w:val="24"/>
        </w:rPr>
      </w:pPr>
    </w:p>
    <w:p w:rsidR="00C70B1A" w:rsidRDefault="00C70B1A">
      <w:pPr>
        <w:pStyle w:val="BodyText"/>
        <w:spacing w:before="7"/>
        <w:rPr>
          <w:sz w:val="19"/>
        </w:rPr>
      </w:pPr>
    </w:p>
    <w:p w:rsidR="00C70B1A" w:rsidRDefault="007A5367">
      <w:pPr>
        <w:pStyle w:val="Heading1"/>
        <w:spacing w:before="1"/>
        <w:ind w:left="2364"/>
      </w:pPr>
      <w:r>
        <w:t>TERMS OF PARTICIPATION</w:t>
      </w:r>
    </w:p>
    <w:p w:rsidR="00C70B1A" w:rsidRDefault="007A5367">
      <w:pPr>
        <w:pStyle w:val="Heading2"/>
        <w:numPr>
          <w:ilvl w:val="0"/>
          <w:numId w:val="5"/>
        </w:numPr>
        <w:tabs>
          <w:tab w:val="left" w:pos="845"/>
        </w:tabs>
        <w:ind w:hanging="361"/>
        <w:jc w:val="left"/>
      </w:pPr>
      <w:r>
        <w:t>Eligibility and rules oforigin</w:t>
      </w:r>
    </w:p>
    <w:p w:rsidR="00C70B1A" w:rsidRDefault="00C70B1A">
      <w:pPr>
        <w:pStyle w:val="BodyText"/>
        <w:rPr>
          <w:b/>
          <w:sz w:val="26"/>
        </w:rPr>
      </w:pPr>
    </w:p>
    <w:p w:rsidR="00C70B1A" w:rsidRDefault="007A5367">
      <w:pPr>
        <w:pStyle w:val="BodyText"/>
        <w:spacing w:before="156"/>
        <w:ind w:left="844" w:right="111"/>
        <w:jc w:val="both"/>
      </w:pPr>
      <w:r>
        <w:t>Participation is open to all natural persons who are nationals of and legal persons  (participating either individually or in a grouping – consortium – of tenderers) which are effectively established in a Member State of the European Union or in a eligible country or territory as defined under the Regulation (EU) No 236/2014 establishing common rules and procedures for the implementation of the Union's instruments for external action (CIR) for the applicable instrument under which the contract is financed (see also heading 22 below). Participation is also open to internationalorganisations.</w:t>
      </w:r>
    </w:p>
    <w:p w:rsidR="00C70B1A" w:rsidRDefault="00C70B1A">
      <w:pPr>
        <w:pStyle w:val="BodyText"/>
        <w:spacing w:before="4"/>
        <w:rPr>
          <w:sz w:val="31"/>
        </w:rPr>
      </w:pPr>
    </w:p>
    <w:p w:rsidR="00C70B1A" w:rsidRDefault="007A5367">
      <w:pPr>
        <w:pStyle w:val="BodyText"/>
        <w:ind w:left="844"/>
        <w:jc w:val="both"/>
      </w:pPr>
      <w:r>
        <w:t>All supplies under this contract may originate from any country.</w:t>
      </w:r>
    </w:p>
    <w:p w:rsidR="00C70B1A" w:rsidRDefault="00C70B1A">
      <w:pPr>
        <w:pStyle w:val="BodyText"/>
        <w:rPr>
          <w:sz w:val="24"/>
        </w:rPr>
      </w:pPr>
    </w:p>
    <w:p w:rsidR="00C70B1A" w:rsidRDefault="007A5367">
      <w:pPr>
        <w:pStyle w:val="BodyText"/>
        <w:spacing w:before="184"/>
        <w:ind w:left="844" w:right="111"/>
        <w:jc w:val="both"/>
      </w:pPr>
      <w:r>
        <w:t>Participation is open to all legal persons (participating either individually or in a grouping – consortium – of tenderers) which are established in a Member State of the European Union or in a country or territory of the regions covered and/or authorised by the specific instruments applicable to the programme under which the contract is financed (see item 22 below). All goods supplied under this contract must originate in one or more of these countries. Participation is also open to international organisations. Participation of natural persons is directly governed by the specific instruments applicable to the programme under which the contract is financed.</w:t>
      </w:r>
    </w:p>
    <w:p w:rsidR="00C70B1A" w:rsidRDefault="007A5367">
      <w:pPr>
        <w:pStyle w:val="Heading2"/>
        <w:numPr>
          <w:ilvl w:val="0"/>
          <w:numId w:val="5"/>
        </w:numPr>
        <w:tabs>
          <w:tab w:val="left" w:pos="844"/>
          <w:tab w:val="left" w:pos="845"/>
        </w:tabs>
        <w:spacing w:before="204"/>
        <w:ind w:hanging="426"/>
        <w:jc w:val="left"/>
      </w:pPr>
      <w:r>
        <w:t>Grounds for</w:t>
      </w:r>
      <w:r w:rsidR="00C5364E">
        <w:t xml:space="preserve"> </w:t>
      </w:r>
      <w:r>
        <w:t>exclusion</w:t>
      </w:r>
    </w:p>
    <w:p w:rsidR="00C70B1A" w:rsidRDefault="007A5367">
      <w:pPr>
        <w:pStyle w:val="BodyText"/>
        <w:spacing w:before="197"/>
        <w:ind w:left="844" w:right="113"/>
        <w:jc w:val="both"/>
      </w:pPr>
      <w:r>
        <w:t>Tenderers must submit a signed declaration, included in the tender form for a supply contract, to the effect that they are not in any of the situations listed in Section 2.6.10.1. of the practical guide.</w:t>
      </w:r>
    </w:p>
    <w:p w:rsidR="00C70B1A" w:rsidRDefault="007A5367">
      <w:pPr>
        <w:pStyle w:val="BodyText"/>
        <w:spacing w:before="201"/>
        <w:ind w:left="844" w:right="114"/>
        <w:jc w:val="both"/>
      </w:pPr>
      <w:r>
        <w:t>Tenderers included in the lists of EU restrictive measures (see Section 2.4. of the PRAG) at  the moment of the award decision cannot be awarded the</w:t>
      </w:r>
      <w:r w:rsidR="00C5364E">
        <w:t xml:space="preserve"> </w:t>
      </w:r>
      <w:r>
        <w:t>contract.</w:t>
      </w:r>
    </w:p>
    <w:p w:rsidR="00C70B1A" w:rsidRDefault="007A5367">
      <w:pPr>
        <w:pStyle w:val="Heading2"/>
        <w:numPr>
          <w:ilvl w:val="0"/>
          <w:numId w:val="5"/>
        </w:numPr>
        <w:tabs>
          <w:tab w:val="left" w:pos="845"/>
        </w:tabs>
        <w:ind w:hanging="426"/>
        <w:jc w:val="left"/>
      </w:pPr>
      <w:r>
        <w:t>Number of</w:t>
      </w:r>
      <w:r w:rsidR="00C5364E">
        <w:t xml:space="preserve"> </w:t>
      </w:r>
      <w:r>
        <w:t>tenders</w:t>
      </w:r>
    </w:p>
    <w:p w:rsidR="00C70B1A" w:rsidRDefault="007A5367">
      <w:pPr>
        <w:pStyle w:val="BodyText"/>
        <w:spacing w:before="194"/>
        <w:ind w:left="779" w:right="139"/>
        <w:jc w:val="both"/>
      </w:pPr>
      <w:r>
        <w:t>The candidates may submit an application for one lot only, several lots or all of the lots, but only one application may be submitted per lot. Tenders for parts of a lot will not be considered. Tenderers may not submit a tender for a variant solution in addition to their tender for the supplies required in the tender dossier.</w:t>
      </w:r>
    </w:p>
    <w:p w:rsidR="00C70B1A" w:rsidRDefault="00C70B1A">
      <w:pPr>
        <w:jc w:val="both"/>
        <w:sectPr w:rsidR="00C70B1A">
          <w:pgSz w:w="11910" w:h="16840"/>
          <w:pgMar w:top="1320" w:right="1300" w:bottom="1020" w:left="1280" w:header="0" w:footer="839" w:gutter="0"/>
          <w:cols w:space="720"/>
        </w:sectPr>
      </w:pPr>
    </w:p>
    <w:p w:rsidR="00C70B1A" w:rsidRDefault="007A5367">
      <w:pPr>
        <w:pStyle w:val="BodyText"/>
        <w:spacing w:before="74"/>
        <w:ind w:left="779" w:right="138"/>
        <w:jc w:val="both"/>
      </w:pPr>
      <w:r>
        <w:lastRenderedPageBreak/>
        <w:t>Contracts will be awarded lot by lot and each lot will form a separate contract. Any tenderer may state in its tender that it would offer a discount in the event that its tender is accepted for more than one lot.</w:t>
      </w:r>
    </w:p>
    <w:p w:rsidR="00C70B1A" w:rsidRDefault="007A5367">
      <w:pPr>
        <w:pStyle w:val="Heading2"/>
        <w:numPr>
          <w:ilvl w:val="0"/>
          <w:numId w:val="5"/>
        </w:numPr>
        <w:tabs>
          <w:tab w:val="left" w:pos="845"/>
        </w:tabs>
        <w:spacing w:before="202"/>
        <w:ind w:hanging="426"/>
        <w:jc w:val="left"/>
      </w:pPr>
      <w:r>
        <w:t>Tender</w:t>
      </w:r>
      <w:r w:rsidR="00C5364E">
        <w:t xml:space="preserve"> </w:t>
      </w:r>
      <w:r>
        <w:t>guarantee</w:t>
      </w:r>
    </w:p>
    <w:p w:rsidR="00C70B1A" w:rsidRDefault="007A5367">
      <w:pPr>
        <w:pStyle w:val="Heading3"/>
        <w:spacing w:before="196"/>
        <w:ind w:left="844"/>
        <w:jc w:val="both"/>
      </w:pPr>
      <w:r>
        <w:t>No tender guarantee is required.</w:t>
      </w:r>
    </w:p>
    <w:p w:rsidR="00C70B1A" w:rsidRDefault="007A5367">
      <w:pPr>
        <w:pStyle w:val="ListParagraph"/>
        <w:numPr>
          <w:ilvl w:val="0"/>
          <w:numId w:val="5"/>
        </w:numPr>
        <w:tabs>
          <w:tab w:val="left" w:pos="845"/>
        </w:tabs>
        <w:spacing w:before="204"/>
        <w:ind w:hanging="426"/>
        <w:jc w:val="left"/>
        <w:rPr>
          <w:b/>
          <w:sz w:val="24"/>
        </w:rPr>
      </w:pPr>
      <w:r>
        <w:rPr>
          <w:b/>
          <w:sz w:val="24"/>
        </w:rPr>
        <w:t>Performance</w:t>
      </w:r>
      <w:r w:rsidR="00C5364E">
        <w:rPr>
          <w:b/>
          <w:sz w:val="24"/>
        </w:rPr>
        <w:t xml:space="preserve"> </w:t>
      </w:r>
      <w:r>
        <w:rPr>
          <w:b/>
          <w:sz w:val="24"/>
        </w:rPr>
        <w:t>guarantee</w:t>
      </w:r>
    </w:p>
    <w:p w:rsidR="00C70B1A" w:rsidRDefault="007A5367">
      <w:pPr>
        <w:pStyle w:val="BodyText"/>
        <w:spacing w:before="96"/>
        <w:ind w:left="844"/>
        <w:jc w:val="both"/>
      </w:pPr>
      <w:r>
        <w:t>No performance guarantee is required.</w:t>
      </w:r>
    </w:p>
    <w:p w:rsidR="00C70B1A" w:rsidRDefault="00C70B1A">
      <w:pPr>
        <w:pStyle w:val="BodyText"/>
        <w:spacing w:before="6"/>
        <w:rPr>
          <w:sz w:val="19"/>
        </w:rPr>
      </w:pPr>
    </w:p>
    <w:p w:rsidR="00C70B1A" w:rsidRDefault="007A5367">
      <w:pPr>
        <w:pStyle w:val="Heading2"/>
        <w:numPr>
          <w:ilvl w:val="0"/>
          <w:numId w:val="5"/>
        </w:numPr>
        <w:tabs>
          <w:tab w:val="left" w:pos="845"/>
        </w:tabs>
        <w:spacing w:before="1"/>
        <w:ind w:hanging="426"/>
        <w:jc w:val="left"/>
      </w:pPr>
      <w:r>
        <w:t>Information meeting and/or site</w:t>
      </w:r>
      <w:r w:rsidR="00C5364E">
        <w:t xml:space="preserve"> </w:t>
      </w:r>
      <w:r>
        <w:t>visit</w:t>
      </w:r>
    </w:p>
    <w:p w:rsidR="00C70B1A" w:rsidRDefault="007A5367">
      <w:pPr>
        <w:pStyle w:val="BodyText"/>
        <w:spacing w:before="193"/>
        <w:ind w:left="844"/>
        <w:jc w:val="both"/>
      </w:pPr>
      <w:r>
        <w:t>No information meeting is planned.</w:t>
      </w:r>
    </w:p>
    <w:p w:rsidR="00C70B1A" w:rsidRDefault="007A5367">
      <w:pPr>
        <w:pStyle w:val="Heading2"/>
        <w:numPr>
          <w:ilvl w:val="0"/>
          <w:numId w:val="5"/>
        </w:numPr>
        <w:tabs>
          <w:tab w:val="left" w:pos="845"/>
        </w:tabs>
        <w:spacing w:before="206"/>
        <w:ind w:hanging="426"/>
        <w:jc w:val="left"/>
      </w:pPr>
      <w:r>
        <w:t>Tender</w:t>
      </w:r>
      <w:r w:rsidR="00C5364E">
        <w:t xml:space="preserve"> </w:t>
      </w:r>
      <w:r>
        <w:t>validity</w:t>
      </w:r>
    </w:p>
    <w:p w:rsidR="00C70B1A" w:rsidRDefault="007A5367">
      <w:pPr>
        <w:pStyle w:val="BodyText"/>
        <w:spacing w:before="197"/>
        <w:ind w:left="844" w:right="113"/>
        <w:jc w:val="both"/>
      </w:pPr>
      <w:r>
        <w:t>Tenders must remain valid for a period of 90 days after the deadline for submission of tenders. In exceptional circumstances, the contracting authority may, before the validity period expires, request that tenderers extend the validity of tenders for a specific period (see para 8.2 of the instructions to tenderers).</w:t>
      </w:r>
    </w:p>
    <w:p w:rsidR="00C70B1A" w:rsidRDefault="007A5367">
      <w:pPr>
        <w:pStyle w:val="Heading2"/>
        <w:numPr>
          <w:ilvl w:val="0"/>
          <w:numId w:val="5"/>
        </w:numPr>
        <w:tabs>
          <w:tab w:val="left" w:pos="845"/>
        </w:tabs>
        <w:ind w:hanging="426"/>
        <w:jc w:val="left"/>
      </w:pPr>
      <w:r>
        <w:t>Period of implementation of</w:t>
      </w:r>
      <w:r w:rsidR="00C5364E">
        <w:t xml:space="preserve"> </w:t>
      </w:r>
      <w:r>
        <w:t>tasks</w:t>
      </w:r>
    </w:p>
    <w:p w:rsidR="00C70B1A" w:rsidRDefault="007A5367">
      <w:pPr>
        <w:pStyle w:val="BodyText"/>
        <w:spacing w:before="197"/>
        <w:ind w:left="844" w:right="118"/>
        <w:jc w:val="both"/>
      </w:pPr>
      <w:r>
        <w:t>The implementation period is until the end of the project implementation period, i.e. 14.3.2021.</w:t>
      </w:r>
    </w:p>
    <w:p w:rsidR="00C70B1A" w:rsidRDefault="00C70B1A">
      <w:pPr>
        <w:pStyle w:val="BodyText"/>
        <w:rPr>
          <w:sz w:val="24"/>
        </w:rPr>
      </w:pPr>
    </w:p>
    <w:p w:rsidR="00C70B1A" w:rsidRDefault="00C70B1A">
      <w:pPr>
        <w:pStyle w:val="BodyText"/>
        <w:rPr>
          <w:sz w:val="35"/>
        </w:rPr>
      </w:pPr>
    </w:p>
    <w:p w:rsidR="00C70B1A" w:rsidRDefault="00C5364E">
      <w:pPr>
        <w:pStyle w:val="Heading1"/>
        <w:ind w:left="2365"/>
      </w:pPr>
      <w:r>
        <w:rPr>
          <w:noProof/>
          <w:lang w:val="mk-MK" w:eastAsia="mk-MK"/>
        </w:rPr>
        <mc:AlternateContent>
          <mc:Choice Requires="wpg">
            <w:drawing>
              <wp:anchor distT="0" distB="0" distL="114300" distR="114300" simplePos="0" relativeHeight="15730176" behindDoc="0" locked="0" layoutInCell="1" allowOverlap="1">
                <wp:simplePos x="0" y="0"/>
                <wp:positionH relativeFrom="page">
                  <wp:posOffset>888365</wp:posOffset>
                </wp:positionH>
                <wp:positionV relativeFrom="paragraph">
                  <wp:posOffset>-128270</wp:posOffset>
                </wp:positionV>
                <wp:extent cx="5965825" cy="35560"/>
                <wp:effectExtent l="0" t="0" r="15875" b="21590"/>
                <wp:wrapNone/>
                <wp:docPr id="9"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825" cy="35560"/>
                          <a:chOff x="1399" y="-202"/>
                          <a:chExt cx="9395" cy="56"/>
                        </a:xfrm>
                      </wpg:grpSpPr>
                      <wps:wsp>
                        <wps:cNvPr id="10" name="Line 9"/>
                        <wps:cNvCnPr>
                          <a:cxnSpLocks noChangeShapeType="1"/>
                        </wps:cNvCnPr>
                        <wps:spPr bwMode="auto">
                          <a:xfrm>
                            <a:off x="1417" y="-184"/>
                            <a:ext cx="9360" cy="1"/>
                          </a:xfrm>
                          <a:prstGeom prst="line">
                            <a:avLst/>
                          </a:prstGeom>
                          <a:noFill/>
                          <a:ln w="22225">
                            <a:solidFill>
                              <a:srgbClr val="808080"/>
                            </a:solidFill>
                            <a:prstDash val="solid"/>
                            <a:round/>
                            <a:headEnd/>
                            <a:tailEnd/>
                          </a:ln>
                          <a:extLst>
                            <a:ext uri="{909E8E84-426E-40DD-AFC4-6F175D3DCCD1}">
                              <a14:hiddenFill xmlns:a14="http://schemas.microsoft.com/office/drawing/2010/main">
                                <a:noFill/>
                              </a14:hiddenFill>
                            </a:ext>
                          </a:extLst>
                        </wps:spPr>
                        <wps:bodyPr/>
                      </wps:wsp>
                      <wps:wsp>
                        <wps:cNvPr id="11" name="Line 8"/>
                        <wps:cNvCnPr>
                          <a:cxnSpLocks noChangeShapeType="1"/>
                        </wps:cNvCnPr>
                        <wps:spPr bwMode="auto">
                          <a:xfrm>
                            <a:off x="1417" y="-164"/>
                            <a:ext cx="9360" cy="1"/>
                          </a:xfrm>
                          <a:prstGeom prst="line">
                            <a:avLst/>
                          </a:prstGeom>
                          <a:noFill/>
                          <a:ln w="22225">
                            <a:solidFill>
                              <a:srgbClr val="D3D3D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9B9C445" id="Group 7" o:spid="_x0000_s1026" style="position:absolute;margin-left:69.95pt;margin-top:-10.1pt;width:469.75pt;height:2.8pt;z-index:15730176;mso-position-horizontal-relative:page" coordorigin="1399,-202" coordsize="9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">
                <v:line id="Line 9" o:spid="_x0000_s1027" style="position:absolute;visibility:visible;mso-wrap-style:square" from="1417,-184" to="10777,-1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DG/cUAAADbAAAADwAAAGRycy9kb3ducmV2LnhtbESPQWvDMAyF74P+B6PCbqvTHsrI6pbS&#10;0FLYdlg2xo4i1uLQWA62m2b/fjoMdpN4T+992uwm36uRYuoCG1guClDETbAdtwY+3o8Pj6BSRrbY&#10;ByYDP5Rgt53dbbC04cZvNNa5VRLCqUQDLueh1Do1jjymRRiIRfsO0WOWNbbaRrxJuO/1qijW2mPH&#10;0uBwoIOj5lJfvYFprE7PVWVfvi5uHz/XdvV6rE/G3M+n/ROoTFP+N/9dn63gC738IgPo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IDG/cUAAADbAAAADwAAAAAAAAAA&#10;AAAAAAChAgAAZHJzL2Rvd25yZXYueG1sUEsFBgAAAAAEAAQA+QAAAJMDAAAAAA==&#10;" strokecolor="gray" strokeweight="1.75pt"/>
                <v:line id="Line 8" o:spid="_x0000_s1028" style="position:absolute;visibility:visible;mso-wrap-style:square" from="1417,-164" to="10777,-1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BRXcIAAADbAAAADwAAAGRycy9kb3ducmV2LnhtbERP22rCQBB9F/yHZYS+iG5SqNToKiJW&#10;quBD1Q8YspOLZmdDdhujX+8WCr7N4VxnvuxMJVpqXGlZQTyOQBCnVpecKzifvkafIJxH1lhZJgV3&#10;crBc9HtzTLS98Q+1R5+LEMIuQQWF93UipUsLMujGtiYOXGYbgz7AJpe6wVsIN5V8j6KJNFhyaCiw&#10;pnVB6fX4axRcssfuo411tpuWm/3+MBlucxoq9TboVjMQnjr/Ev+7v3WYH8PfL+EAuXg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sBRXcIAAADbAAAADwAAAAAAAAAAAAAA&#10;AAChAgAAZHJzL2Rvd25yZXYueG1sUEsFBgAAAAAEAAQA+QAAAJADAAAAAA==&#10;" strokecolor="#d3d3d3" strokeweight="1.75pt"/>
                <w10:wrap anchorx="page"/>
              </v:group>
            </w:pict>
          </mc:Fallback>
        </mc:AlternateContent>
      </w:r>
      <w:r w:rsidR="007A5367">
        <w:t>SELECTION AND AWARD CRITERIA</w:t>
      </w:r>
    </w:p>
    <w:p w:rsidR="00C70B1A" w:rsidRDefault="007A5367">
      <w:pPr>
        <w:pStyle w:val="Heading2"/>
        <w:numPr>
          <w:ilvl w:val="0"/>
          <w:numId w:val="5"/>
        </w:numPr>
        <w:tabs>
          <w:tab w:val="left" w:pos="845"/>
        </w:tabs>
        <w:spacing w:before="201"/>
        <w:ind w:hanging="426"/>
        <w:jc w:val="left"/>
      </w:pPr>
      <w:r>
        <w:t>Selection</w:t>
      </w:r>
      <w:r w:rsidR="00C5364E">
        <w:t xml:space="preserve"> </w:t>
      </w:r>
      <w:r>
        <w:t>criteria</w:t>
      </w:r>
    </w:p>
    <w:p w:rsidR="00C70B1A" w:rsidRDefault="007A5367">
      <w:pPr>
        <w:pStyle w:val="BodyText"/>
        <w:spacing w:before="198"/>
        <w:ind w:left="844" w:right="474"/>
        <w:jc w:val="both"/>
      </w:pPr>
      <w:r>
        <w:t xml:space="preserve">The following selection criteria will be applied to tenderers. In the case of tenders submitted by a consortium, these selection criteria will be applied to the consortium as a whole </w:t>
      </w:r>
      <w:r>
        <w:rPr>
          <w:sz w:val="24"/>
        </w:rPr>
        <w:t xml:space="preserve">unless </w:t>
      </w:r>
      <w:r>
        <w:t>specified otherwise. The selection criteria will not be applied to natural persons and single-member companies when they are sub-contractors:</w:t>
      </w:r>
    </w:p>
    <w:p w:rsidR="00C70B1A" w:rsidRDefault="007A5367">
      <w:pPr>
        <w:pStyle w:val="ListParagraph"/>
        <w:numPr>
          <w:ilvl w:val="1"/>
          <w:numId w:val="5"/>
        </w:numPr>
        <w:tabs>
          <w:tab w:val="left" w:pos="1346"/>
        </w:tabs>
        <w:spacing w:before="199"/>
        <w:ind w:right="470"/>
        <w:jc w:val="both"/>
      </w:pPr>
      <w:r>
        <w:rPr>
          <w:b/>
        </w:rPr>
        <w:t xml:space="preserve">Economic and financial capacity of tenderer </w:t>
      </w:r>
      <w:r>
        <w:t>(based on i.a. item 3 of the tender form for a supply contract). In case of tenderer being a public body, equivalent information should be provided. The reference period which will be taken into account will be the last three financial years for which accounts have been</w:t>
      </w:r>
      <w:r w:rsidR="00C5364E">
        <w:t xml:space="preserve"> </w:t>
      </w:r>
      <w:r>
        <w:t>closed.</w:t>
      </w:r>
    </w:p>
    <w:p w:rsidR="00C70B1A" w:rsidRDefault="007A5367">
      <w:pPr>
        <w:pStyle w:val="BodyText"/>
        <w:spacing w:before="200"/>
        <w:ind w:left="1346"/>
      </w:pPr>
      <w:r>
        <w:t>The objective of this criterion is to examine whether or not the tenderer (i.e., the consortium as a whole, in the case of a tender from a consortium):</w:t>
      </w:r>
    </w:p>
    <w:p w:rsidR="00C70B1A" w:rsidRDefault="007A5367">
      <w:pPr>
        <w:pStyle w:val="ListParagraph"/>
        <w:numPr>
          <w:ilvl w:val="2"/>
          <w:numId w:val="5"/>
        </w:numPr>
        <w:tabs>
          <w:tab w:val="left" w:pos="1696"/>
          <w:tab w:val="left" w:pos="1697"/>
        </w:tabs>
        <w:spacing w:before="200"/>
        <w:ind w:right="114" w:firstLine="0"/>
      </w:pPr>
      <w:r>
        <w:t>will not be economically dependent on the contracting authority in the event that the contract is awarded to it;</w:t>
      </w:r>
      <w:r w:rsidR="00C5364E">
        <w:t xml:space="preserve"> </w:t>
      </w:r>
      <w:r>
        <w:t>and</w:t>
      </w:r>
    </w:p>
    <w:p w:rsidR="00C70B1A" w:rsidRDefault="007A5367">
      <w:pPr>
        <w:pStyle w:val="ListParagraph"/>
        <w:numPr>
          <w:ilvl w:val="2"/>
          <w:numId w:val="5"/>
        </w:numPr>
        <w:tabs>
          <w:tab w:val="left" w:pos="1696"/>
          <w:tab w:val="left" w:pos="1697"/>
        </w:tabs>
        <w:spacing w:before="197"/>
        <w:ind w:left="1696"/>
      </w:pPr>
      <w:r>
        <w:t>has sufficient financial stability to handle the proposed</w:t>
      </w:r>
      <w:r w:rsidR="00C5364E">
        <w:t xml:space="preserve"> </w:t>
      </w:r>
      <w:r>
        <w:t>contract.</w:t>
      </w:r>
    </w:p>
    <w:p w:rsidR="00C70B1A" w:rsidRDefault="007A5367">
      <w:pPr>
        <w:pStyle w:val="Heading3"/>
        <w:spacing w:before="202"/>
        <w:ind w:left="1269"/>
      </w:pPr>
      <w:r>
        <w:t>The selection criteria for each tenderer are as follows:</w:t>
      </w:r>
    </w:p>
    <w:p w:rsidR="00C70B1A" w:rsidRDefault="00C70B1A">
      <w:pPr>
        <w:sectPr w:rsidR="00C70B1A">
          <w:pgSz w:w="11910" w:h="16840"/>
          <w:pgMar w:top="1320" w:right="1300" w:bottom="1020" w:left="1280" w:header="0" w:footer="839" w:gutter="0"/>
          <w:cols w:space="720"/>
        </w:sectPr>
      </w:pPr>
    </w:p>
    <w:p w:rsidR="00C70B1A" w:rsidRDefault="007A5367">
      <w:pPr>
        <w:pStyle w:val="Heading4"/>
        <w:spacing w:before="76"/>
        <w:ind w:left="1576"/>
      </w:pPr>
      <w:r>
        <w:lastRenderedPageBreak/>
        <w:t>The selection criteria for tenderers to lot n°1 – Equipping with furniture are as follows:</w:t>
      </w:r>
    </w:p>
    <w:p w:rsidR="00C70B1A" w:rsidRDefault="00C70B1A">
      <w:pPr>
        <w:pStyle w:val="BodyText"/>
        <w:rPr>
          <w:b/>
          <w:sz w:val="19"/>
        </w:rPr>
      </w:pPr>
    </w:p>
    <w:p w:rsidR="00C70B1A" w:rsidRDefault="007A5367">
      <w:pPr>
        <w:spacing w:before="1"/>
        <w:ind w:left="1269"/>
        <w:rPr>
          <w:b/>
        </w:rPr>
      </w:pPr>
      <w:r>
        <w:rPr>
          <w:b/>
        </w:rPr>
        <w:t>Financial criteria for legal persons:</w:t>
      </w:r>
    </w:p>
    <w:p w:rsidR="00C70B1A" w:rsidRDefault="007A5367">
      <w:pPr>
        <w:pStyle w:val="ListParagraph"/>
        <w:numPr>
          <w:ilvl w:val="0"/>
          <w:numId w:val="4"/>
        </w:numPr>
        <w:tabs>
          <w:tab w:val="left" w:pos="1697"/>
        </w:tabs>
        <w:spacing w:before="197"/>
        <w:ind w:right="119"/>
        <w:jc w:val="both"/>
      </w:pPr>
      <w:r>
        <w:t>the average annual turnover of the tenderer should be minimum at the level of maximum budget of the contract for this lot (Lot No. 1);and</w:t>
      </w:r>
    </w:p>
    <w:p w:rsidR="00C70B1A" w:rsidRDefault="007A5367">
      <w:pPr>
        <w:pStyle w:val="ListParagraph"/>
        <w:numPr>
          <w:ilvl w:val="0"/>
          <w:numId w:val="4"/>
        </w:numPr>
        <w:tabs>
          <w:tab w:val="left" w:pos="1697"/>
        </w:tabs>
        <w:spacing w:before="199"/>
        <w:ind w:right="113"/>
        <w:jc w:val="both"/>
      </w:pPr>
      <w:r>
        <w:t>Current ratio (current assets/current liabilities) in the last year for which accounts have been closed must be at least 1. In case of a consortium, this criterion must be fulfilled by each</w:t>
      </w:r>
      <w:r w:rsidR="00C5364E">
        <w:t xml:space="preserve"> </w:t>
      </w:r>
      <w:r>
        <w:t>member.</w:t>
      </w:r>
    </w:p>
    <w:p w:rsidR="00C70B1A" w:rsidRDefault="00C70B1A">
      <w:pPr>
        <w:pStyle w:val="BodyText"/>
        <w:spacing w:before="6"/>
        <w:rPr>
          <w:sz w:val="19"/>
        </w:rPr>
      </w:pPr>
    </w:p>
    <w:p w:rsidR="00C70B1A" w:rsidRDefault="007A5367">
      <w:pPr>
        <w:pStyle w:val="Heading4"/>
        <w:ind w:left="1576"/>
      </w:pPr>
      <w:r>
        <w:t>The selection criteria for tenderers to lot n°2 – Computer, video and other equipment are as follows:</w:t>
      </w:r>
    </w:p>
    <w:p w:rsidR="00C70B1A" w:rsidRDefault="00C70B1A">
      <w:pPr>
        <w:pStyle w:val="BodyText"/>
        <w:rPr>
          <w:b/>
          <w:sz w:val="19"/>
        </w:rPr>
      </w:pPr>
    </w:p>
    <w:p w:rsidR="00C70B1A" w:rsidRDefault="007A5367">
      <w:pPr>
        <w:spacing w:before="1"/>
        <w:ind w:left="1269"/>
        <w:rPr>
          <w:b/>
        </w:rPr>
      </w:pPr>
      <w:r>
        <w:rPr>
          <w:b/>
        </w:rPr>
        <w:t>Financial criteria for legal persons:</w:t>
      </w:r>
    </w:p>
    <w:p w:rsidR="00C70B1A" w:rsidRDefault="007A5367">
      <w:pPr>
        <w:pStyle w:val="ListParagraph"/>
        <w:numPr>
          <w:ilvl w:val="0"/>
          <w:numId w:val="4"/>
        </w:numPr>
        <w:tabs>
          <w:tab w:val="left" w:pos="1697"/>
        </w:tabs>
        <w:spacing w:before="195"/>
        <w:ind w:right="119"/>
        <w:jc w:val="both"/>
      </w:pPr>
      <w:r>
        <w:t>the average annual turnover of the tenderer should be minimum at the level of maximum budget of the contract for this lot (Lot No. 2);and</w:t>
      </w:r>
    </w:p>
    <w:p w:rsidR="00C70B1A" w:rsidRDefault="007A5367">
      <w:pPr>
        <w:pStyle w:val="ListParagraph"/>
        <w:numPr>
          <w:ilvl w:val="0"/>
          <w:numId w:val="4"/>
        </w:numPr>
        <w:tabs>
          <w:tab w:val="left" w:pos="1697"/>
        </w:tabs>
        <w:spacing w:before="200"/>
        <w:ind w:right="113"/>
        <w:jc w:val="both"/>
      </w:pPr>
      <w:r>
        <w:t>Current ratio (current assets/current liabilities) in the last year for which accounts have been closed must be at least 1. In case of a consortium, this criterion must be fulfilled by each</w:t>
      </w:r>
      <w:r w:rsidR="00C5364E">
        <w:t xml:space="preserve"> </w:t>
      </w:r>
      <w:r>
        <w:t>member.</w:t>
      </w:r>
    </w:p>
    <w:p w:rsidR="00C70B1A" w:rsidRDefault="007A5367">
      <w:pPr>
        <w:pStyle w:val="ListParagraph"/>
        <w:numPr>
          <w:ilvl w:val="1"/>
          <w:numId w:val="5"/>
        </w:numPr>
        <w:tabs>
          <w:tab w:val="left" w:pos="1270"/>
        </w:tabs>
        <w:spacing w:before="200"/>
        <w:ind w:left="1269" w:right="113" w:hanging="284"/>
        <w:jc w:val="both"/>
      </w:pPr>
      <w:r>
        <w:rPr>
          <w:b/>
        </w:rPr>
        <w:t xml:space="preserve">Professional capacity of tenderer </w:t>
      </w:r>
      <w:r>
        <w:t>(based on i.a. items 4 and 5 of the tender form for a supply contract). The reference period which will be taken into account will be the last three years preceding the submission</w:t>
      </w:r>
      <w:r w:rsidR="00C5364E">
        <w:t xml:space="preserve"> </w:t>
      </w:r>
      <w:r>
        <w:t>deadline.</w:t>
      </w:r>
    </w:p>
    <w:p w:rsidR="00C70B1A" w:rsidRDefault="007A5367">
      <w:pPr>
        <w:pStyle w:val="BodyText"/>
        <w:spacing w:before="201"/>
        <w:ind w:left="1269" w:right="112"/>
        <w:jc w:val="both"/>
      </w:pPr>
      <w:r>
        <w:t>The objective of this criterion is to examine whether or not the tenderer (i.e. the consortium as a whole, in the case of a tender from a consortium) has sufficient ongoing staff resources and expertise to be able to handle the proposed contract</w:t>
      </w:r>
    </w:p>
    <w:p w:rsidR="00C70B1A" w:rsidRDefault="00C70B1A">
      <w:pPr>
        <w:pStyle w:val="BodyText"/>
        <w:spacing w:before="4"/>
        <w:rPr>
          <w:sz w:val="19"/>
        </w:rPr>
      </w:pPr>
    </w:p>
    <w:p w:rsidR="00C70B1A" w:rsidRDefault="007A5367">
      <w:pPr>
        <w:pStyle w:val="Heading4"/>
        <w:ind w:left="1576"/>
      </w:pPr>
      <w:r>
        <w:t>The selection criteria for tenderers to lot n°1 – Equipping with furniture are as follows:</w:t>
      </w:r>
    </w:p>
    <w:p w:rsidR="00C70B1A" w:rsidRDefault="00C70B1A">
      <w:pPr>
        <w:pStyle w:val="BodyText"/>
        <w:spacing w:before="1"/>
        <w:rPr>
          <w:b/>
          <w:sz w:val="19"/>
        </w:rPr>
      </w:pPr>
    </w:p>
    <w:p w:rsidR="00C70B1A" w:rsidRDefault="007A5367">
      <w:pPr>
        <w:ind w:left="1269"/>
        <w:jc w:val="both"/>
        <w:rPr>
          <w:b/>
        </w:rPr>
      </w:pPr>
      <w:r>
        <w:rPr>
          <w:b/>
        </w:rPr>
        <w:t>Professional criteria for legal persons:</w:t>
      </w:r>
    </w:p>
    <w:p w:rsidR="00C70B1A" w:rsidRDefault="007A5367">
      <w:pPr>
        <w:pStyle w:val="ListParagraph"/>
        <w:numPr>
          <w:ilvl w:val="0"/>
          <w:numId w:val="3"/>
        </w:numPr>
        <w:tabs>
          <w:tab w:val="left" w:pos="1696"/>
          <w:tab w:val="left" w:pos="1697"/>
        </w:tabs>
        <w:spacing w:before="197"/>
        <w:ind w:hanging="426"/>
      </w:pPr>
      <w:r>
        <w:t>has a professional certificate appropriate to this</w:t>
      </w:r>
      <w:r w:rsidR="00C5364E">
        <w:t xml:space="preserve"> </w:t>
      </w:r>
      <w:r>
        <w:t>contract;</w:t>
      </w:r>
    </w:p>
    <w:p w:rsidR="00C70B1A" w:rsidRDefault="007A5367">
      <w:pPr>
        <w:pStyle w:val="ListParagraph"/>
        <w:numPr>
          <w:ilvl w:val="0"/>
          <w:numId w:val="3"/>
        </w:numPr>
        <w:tabs>
          <w:tab w:val="left" w:pos="1696"/>
          <w:tab w:val="left" w:pos="1697"/>
        </w:tabs>
        <w:spacing w:before="198"/>
        <w:ind w:hanging="426"/>
      </w:pPr>
      <w:r>
        <w:t>at least 2 (two) staff currently work for the tenderer in fields related to this</w:t>
      </w:r>
      <w:r w:rsidR="00C5364E">
        <w:t xml:space="preserve"> </w:t>
      </w:r>
      <w:r>
        <w:t>contract.</w:t>
      </w:r>
    </w:p>
    <w:p w:rsidR="00C70B1A" w:rsidRDefault="007A5367">
      <w:pPr>
        <w:pStyle w:val="Heading4"/>
        <w:spacing w:before="226"/>
        <w:ind w:left="1576"/>
      </w:pPr>
      <w:r>
        <w:t>The selection criteria for tenderers to lot n°2 – Computer, video and other equipment are as follows:</w:t>
      </w:r>
    </w:p>
    <w:p w:rsidR="00C70B1A" w:rsidRDefault="00C70B1A">
      <w:pPr>
        <w:pStyle w:val="BodyText"/>
        <w:spacing w:before="10"/>
        <w:rPr>
          <w:b/>
          <w:sz w:val="18"/>
        </w:rPr>
      </w:pPr>
    </w:p>
    <w:p w:rsidR="00C70B1A" w:rsidRDefault="007A5367">
      <w:pPr>
        <w:ind w:left="1269"/>
        <w:jc w:val="both"/>
        <w:rPr>
          <w:b/>
        </w:rPr>
      </w:pPr>
      <w:r>
        <w:rPr>
          <w:b/>
        </w:rPr>
        <w:t>Professional criteria for legal persons:</w:t>
      </w:r>
    </w:p>
    <w:p w:rsidR="00C70B1A" w:rsidRDefault="007A5367">
      <w:pPr>
        <w:pStyle w:val="ListParagraph"/>
        <w:numPr>
          <w:ilvl w:val="0"/>
          <w:numId w:val="3"/>
        </w:numPr>
        <w:tabs>
          <w:tab w:val="left" w:pos="1696"/>
          <w:tab w:val="left" w:pos="1697"/>
        </w:tabs>
        <w:spacing w:before="197"/>
        <w:ind w:hanging="426"/>
      </w:pPr>
      <w:r>
        <w:t>has a professional certificate appropriate to this</w:t>
      </w:r>
      <w:r w:rsidR="00C5364E">
        <w:t xml:space="preserve"> </w:t>
      </w:r>
      <w:r>
        <w:t>contract;</w:t>
      </w:r>
    </w:p>
    <w:p w:rsidR="00C70B1A" w:rsidRDefault="007A5367">
      <w:pPr>
        <w:pStyle w:val="ListParagraph"/>
        <w:numPr>
          <w:ilvl w:val="0"/>
          <w:numId w:val="3"/>
        </w:numPr>
        <w:tabs>
          <w:tab w:val="left" w:pos="1696"/>
          <w:tab w:val="left" w:pos="1697"/>
        </w:tabs>
        <w:spacing w:before="199"/>
        <w:ind w:hanging="426"/>
      </w:pPr>
      <w:r>
        <w:t>at least 2 (two) staff currently work for the tenderer in fields related to this</w:t>
      </w:r>
      <w:r w:rsidR="00C5364E">
        <w:t xml:space="preserve"> </w:t>
      </w:r>
      <w:r>
        <w:t>contract.</w:t>
      </w:r>
    </w:p>
    <w:p w:rsidR="00C70B1A" w:rsidRDefault="00C70B1A">
      <w:pPr>
        <w:pStyle w:val="BodyText"/>
        <w:rPr>
          <w:sz w:val="26"/>
        </w:rPr>
      </w:pPr>
    </w:p>
    <w:p w:rsidR="00C70B1A" w:rsidRDefault="00C70B1A">
      <w:pPr>
        <w:pStyle w:val="BodyText"/>
        <w:spacing w:before="3"/>
      </w:pPr>
    </w:p>
    <w:p w:rsidR="00C70B1A" w:rsidRDefault="007A5367">
      <w:pPr>
        <w:pStyle w:val="ListParagraph"/>
        <w:numPr>
          <w:ilvl w:val="1"/>
          <w:numId w:val="5"/>
        </w:numPr>
        <w:tabs>
          <w:tab w:val="left" w:pos="1270"/>
        </w:tabs>
        <w:spacing w:before="0"/>
        <w:ind w:left="1269" w:right="115" w:hanging="284"/>
        <w:jc w:val="both"/>
      </w:pPr>
      <w:r>
        <w:rPr>
          <w:b/>
        </w:rPr>
        <w:t xml:space="preserve">Technical capacity of tenderer </w:t>
      </w:r>
      <w:r>
        <w:rPr>
          <w:i/>
        </w:rPr>
        <w:t>(</w:t>
      </w:r>
      <w:r>
        <w:t>based on i.a. items 5 and 6 of the tender form for a supply contract). The reference period which will be taken into account will be the last three years preceding the submissiondeadline.</w:t>
      </w:r>
    </w:p>
    <w:p w:rsidR="00C70B1A" w:rsidRDefault="007A5367">
      <w:pPr>
        <w:pStyle w:val="BodyText"/>
        <w:spacing w:before="198"/>
        <w:ind w:left="1269" w:right="112"/>
        <w:jc w:val="both"/>
      </w:pPr>
      <w:r>
        <w:t>The objective of this criterion is to examine whether or not the tenderer (i.e. the consortium as a whole, in the case of a tender from a consortium) has sufficient expertise</w:t>
      </w:r>
    </w:p>
    <w:p w:rsidR="00C70B1A" w:rsidRDefault="00C70B1A">
      <w:pPr>
        <w:jc w:val="both"/>
        <w:sectPr w:rsidR="00C70B1A">
          <w:pgSz w:w="11910" w:h="16840"/>
          <w:pgMar w:top="1320" w:right="1300" w:bottom="1020" w:left="1280" w:header="0" w:footer="839" w:gutter="0"/>
          <w:cols w:space="720"/>
        </w:sectPr>
      </w:pPr>
    </w:p>
    <w:p w:rsidR="00C70B1A" w:rsidRDefault="007A5367">
      <w:pPr>
        <w:pStyle w:val="BodyText"/>
        <w:spacing w:before="71"/>
        <w:ind w:left="1269"/>
      </w:pPr>
      <w:r>
        <w:lastRenderedPageBreak/>
        <w:t>and experience to be able to handle the proposed contract.</w:t>
      </w:r>
    </w:p>
    <w:p w:rsidR="00C70B1A" w:rsidRDefault="00C70B1A">
      <w:pPr>
        <w:pStyle w:val="BodyText"/>
        <w:spacing w:before="6"/>
        <w:rPr>
          <w:sz w:val="19"/>
        </w:rPr>
      </w:pPr>
    </w:p>
    <w:p w:rsidR="00C70B1A" w:rsidRDefault="007A5367">
      <w:pPr>
        <w:pStyle w:val="Heading4"/>
        <w:spacing w:before="1"/>
        <w:ind w:left="1576" w:right="112"/>
        <w:jc w:val="both"/>
      </w:pPr>
      <w:r>
        <w:t>The selection criteria for tenderers to lot n°1 – Equipping with furniture are as follows:</w:t>
      </w:r>
    </w:p>
    <w:p w:rsidR="00C70B1A" w:rsidRDefault="00C70B1A">
      <w:pPr>
        <w:pStyle w:val="BodyText"/>
        <w:rPr>
          <w:b/>
          <w:sz w:val="19"/>
        </w:rPr>
      </w:pPr>
    </w:p>
    <w:p w:rsidR="00C70B1A" w:rsidRDefault="007A5367">
      <w:pPr>
        <w:ind w:left="1269"/>
        <w:rPr>
          <w:b/>
        </w:rPr>
      </w:pPr>
      <w:r>
        <w:rPr>
          <w:b/>
        </w:rPr>
        <w:t>Technical criterion for legal persons:</w:t>
      </w:r>
    </w:p>
    <w:p w:rsidR="00C70B1A" w:rsidRDefault="007A5367">
      <w:pPr>
        <w:pStyle w:val="ListParagraph"/>
        <w:numPr>
          <w:ilvl w:val="0"/>
          <w:numId w:val="2"/>
        </w:numPr>
        <w:tabs>
          <w:tab w:val="left" w:pos="1697"/>
        </w:tabs>
        <w:spacing w:before="197"/>
        <w:ind w:right="111"/>
        <w:jc w:val="both"/>
      </w:pPr>
      <w:r>
        <w:t>the tenderer has delivered supplies under at least 1 contract in equipping offices with an equipment as of this tender, and which were implemented during the following period: at least last three years,2017-2020.</w:t>
      </w:r>
    </w:p>
    <w:p w:rsidR="00C70B1A" w:rsidRDefault="00C70B1A">
      <w:pPr>
        <w:pStyle w:val="BodyText"/>
        <w:spacing w:before="5"/>
        <w:rPr>
          <w:sz w:val="19"/>
        </w:rPr>
      </w:pPr>
    </w:p>
    <w:p w:rsidR="00C70B1A" w:rsidRDefault="007A5367">
      <w:pPr>
        <w:pStyle w:val="Heading4"/>
        <w:spacing w:before="1"/>
        <w:ind w:left="1576" w:right="113"/>
        <w:jc w:val="both"/>
      </w:pPr>
      <w:r>
        <w:t>The selection criteria for tenderers to lot n°2 – Computer, video and other equipment are as follows:</w:t>
      </w:r>
    </w:p>
    <w:p w:rsidR="00C70B1A" w:rsidRDefault="00C70B1A">
      <w:pPr>
        <w:pStyle w:val="BodyText"/>
        <w:rPr>
          <w:b/>
          <w:sz w:val="19"/>
        </w:rPr>
      </w:pPr>
    </w:p>
    <w:p w:rsidR="00C70B1A" w:rsidRDefault="007A5367">
      <w:pPr>
        <w:ind w:left="1269"/>
        <w:rPr>
          <w:b/>
        </w:rPr>
      </w:pPr>
      <w:r>
        <w:rPr>
          <w:b/>
        </w:rPr>
        <w:t>Technical criterion for legal persons:</w:t>
      </w:r>
    </w:p>
    <w:p w:rsidR="00C70B1A" w:rsidRDefault="007A5367">
      <w:pPr>
        <w:pStyle w:val="BodyText"/>
        <w:spacing w:before="199"/>
        <w:ind w:left="1696" w:right="114"/>
        <w:jc w:val="both"/>
      </w:pPr>
      <w:r>
        <w:t>the tenderer has delivered supplies under at least 2 contracts in equipping buildings with the specific equipment as of this tender, and which were implemented during the following period: at least last three years,2017-2020</w:t>
      </w:r>
    </w:p>
    <w:p w:rsidR="00C70B1A" w:rsidRDefault="007A5367">
      <w:pPr>
        <w:pStyle w:val="BodyText"/>
        <w:spacing w:before="199"/>
        <w:ind w:left="1269" w:right="112"/>
        <w:jc w:val="both"/>
      </w:pPr>
      <w:r>
        <w:t xml:space="preserve">This means that the contract the tenderer refers to could have been started or completed at any time during the indicated period but it does not necessarily have to </w:t>
      </w:r>
      <w:r>
        <w:rPr>
          <w:spacing w:val="3"/>
        </w:rPr>
        <w:t xml:space="preserve">be </w:t>
      </w:r>
      <w:r>
        <w:t>started and completed during that period, nor implemented during the entire period. 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w:t>
      </w:r>
      <w:r w:rsidR="00C5364E">
        <w:t xml:space="preserve"> </w:t>
      </w:r>
      <w:r>
        <w:t>value.</w:t>
      </w:r>
    </w:p>
    <w:p w:rsidR="00C70B1A" w:rsidRDefault="007A5367">
      <w:pPr>
        <w:pStyle w:val="BodyText"/>
        <w:spacing w:before="199"/>
        <w:ind w:left="1269"/>
        <w:jc w:val="both"/>
      </w:pPr>
      <w:r>
        <w:t>Capacity-providing entities</w:t>
      </w:r>
    </w:p>
    <w:p w:rsidR="00C70B1A" w:rsidRDefault="007A5367">
      <w:pPr>
        <w:pStyle w:val="BodyText"/>
        <w:spacing w:before="201"/>
        <w:ind w:left="1269" w:right="113"/>
        <w:jc w:val="both"/>
      </w:pPr>
      <w:r>
        <w:t>An economic operator may, where appropriate and for a particular contract, rely on the capacities of other entities, regardless of the legal nature of the links which it has with them. If the tenderer relies on other entities it must prove to the contracting authority that it will have at its disposal the resources necessary for performance of the contract by producing a commitment on the part of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data for this third entity for the relevant selection criterion should be included in the tender in a separate document. Proof of the capacity will also have to be provided when requested by the contracting authority.</w:t>
      </w:r>
    </w:p>
    <w:p w:rsidR="00C70B1A" w:rsidRDefault="007A5367">
      <w:pPr>
        <w:pStyle w:val="BodyText"/>
        <w:spacing w:before="201"/>
        <w:ind w:left="1269" w:right="113"/>
        <w:jc w:val="both"/>
      </w:pPr>
      <w:r>
        <w:t>With regard to technical and professional criteria, a tenderer may only rely on the capacities of other entities where the latter will perform the tasks for which these capacities are required.</w:t>
      </w:r>
    </w:p>
    <w:p w:rsidR="00C70B1A" w:rsidRDefault="007A5367">
      <w:pPr>
        <w:pStyle w:val="BodyText"/>
        <w:spacing w:before="201"/>
        <w:ind w:left="1269" w:right="114"/>
        <w:jc w:val="both"/>
      </w:pPr>
      <w:r>
        <w:t>With regard to economic and financial criteria, the entities upon whose capacity the tenderer relies, become jointly and severally liable for the performance of the contract.</w:t>
      </w:r>
    </w:p>
    <w:p w:rsidR="00C70B1A" w:rsidRDefault="007A5367">
      <w:pPr>
        <w:pStyle w:val="Heading2"/>
        <w:numPr>
          <w:ilvl w:val="0"/>
          <w:numId w:val="5"/>
        </w:numPr>
        <w:tabs>
          <w:tab w:val="left" w:pos="845"/>
        </w:tabs>
        <w:spacing w:before="202"/>
        <w:ind w:hanging="426"/>
        <w:jc w:val="left"/>
      </w:pPr>
      <w:r>
        <w:t>Award</w:t>
      </w:r>
      <w:r w:rsidR="00C5364E">
        <w:t xml:space="preserve"> </w:t>
      </w:r>
      <w:r>
        <w:t>criteria</w:t>
      </w:r>
    </w:p>
    <w:p w:rsidR="00C70B1A" w:rsidRDefault="007A5367">
      <w:pPr>
        <w:pStyle w:val="BodyText"/>
        <w:spacing w:before="195"/>
        <w:ind w:left="844" w:right="631"/>
      </w:pPr>
      <w:r>
        <w:t xml:space="preserve">Price (or, if appropriate after prior approval, the best </w:t>
      </w:r>
      <w:r>
        <w:rPr>
          <w:sz w:val="24"/>
        </w:rPr>
        <w:t xml:space="preserve">price-quality ratio </w:t>
      </w:r>
      <w:r>
        <w:t>which is a combination of quality and price).</w:t>
      </w:r>
    </w:p>
    <w:p w:rsidR="00C70B1A" w:rsidRDefault="00C70B1A">
      <w:pPr>
        <w:sectPr w:rsidR="00C70B1A">
          <w:pgSz w:w="11910" w:h="16840"/>
          <w:pgMar w:top="1320" w:right="1300" w:bottom="1020" w:left="1280" w:header="0" w:footer="839" w:gutter="0"/>
          <w:cols w:space="720"/>
        </w:sectPr>
      </w:pPr>
    </w:p>
    <w:p w:rsidR="00C70B1A" w:rsidRDefault="00C5364E">
      <w:pPr>
        <w:pStyle w:val="Heading1"/>
        <w:spacing w:before="73"/>
      </w:pPr>
      <w:r>
        <w:rPr>
          <w:noProof/>
          <w:lang w:val="mk-MK" w:eastAsia="mk-MK"/>
        </w:rPr>
        <w:lastRenderedPageBreak/>
        <mc:AlternateContent>
          <mc:Choice Requires="wpg">
            <w:drawing>
              <wp:anchor distT="0" distB="0" distL="114300" distR="114300" simplePos="0" relativeHeight="15731200" behindDoc="0" locked="0" layoutInCell="1" allowOverlap="1">
                <wp:simplePos x="0" y="0"/>
                <wp:positionH relativeFrom="page">
                  <wp:posOffset>888365</wp:posOffset>
                </wp:positionH>
                <wp:positionV relativeFrom="paragraph">
                  <wp:posOffset>302260</wp:posOffset>
                </wp:positionV>
                <wp:extent cx="5965825" cy="35560"/>
                <wp:effectExtent l="0" t="0" r="15875" b="21590"/>
                <wp:wrapNone/>
                <wp:docPr id="6"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65825" cy="35560"/>
                          <a:chOff x="1399" y="476"/>
                          <a:chExt cx="9395" cy="56"/>
                        </a:xfrm>
                      </wpg:grpSpPr>
                      <wps:wsp>
                        <wps:cNvPr id="7" name="Line 6"/>
                        <wps:cNvCnPr>
                          <a:cxnSpLocks noChangeShapeType="1"/>
                        </wps:cNvCnPr>
                        <wps:spPr bwMode="auto">
                          <a:xfrm>
                            <a:off x="1417" y="494"/>
                            <a:ext cx="9360" cy="1"/>
                          </a:xfrm>
                          <a:prstGeom prst="line">
                            <a:avLst/>
                          </a:prstGeom>
                          <a:noFill/>
                          <a:ln w="22225">
                            <a:solidFill>
                              <a:srgbClr val="808080"/>
                            </a:solidFill>
                            <a:prstDash val="solid"/>
                            <a:round/>
                            <a:headEnd/>
                            <a:tailEnd/>
                          </a:ln>
                          <a:extLst>
                            <a:ext uri="{909E8E84-426E-40DD-AFC4-6F175D3DCCD1}">
                              <a14:hiddenFill xmlns:a14="http://schemas.microsoft.com/office/drawing/2010/main">
                                <a:noFill/>
                              </a14:hiddenFill>
                            </a:ext>
                          </a:extLst>
                        </wps:spPr>
                        <wps:bodyPr/>
                      </wps:wsp>
                      <wps:wsp>
                        <wps:cNvPr id="8" name="Line 5"/>
                        <wps:cNvCnPr>
                          <a:cxnSpLocks noChangeShapeType="1"/>
                        </wps:cNvCnPr>
                        <wps:spPr bwMode="auto">
                          <a:xfrm>
                            <a:off x="1417" y="514"/>
                            <a:ext cx="9360" cy="1"/>
                          </a:xfrm>
                          <a:prstGeom prst="line">
                            <a:avLst/>
                          </a:prstGeom>
                          <a:noFill/>
                          <a:ln w="22225">
                            <a:solidFill>
                              <a:srgbClr val="D3D3D3"/>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29A311E" id="Group 4" o:spid="_x0000_s1026" style="position:absolute;margin-left:69.95pt;margin-top:23.8pt;width:469.75pt;height:2.8pt;z-index:15731200;mso-position-horizontal-relative:page" coordorigin="1399,476" coordsize="939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">
                <v:line id="Line 6" o:spid="_x0000_s1027" style="position:absolute;visibility:visible;mso-wrap-style:square" from="1417,494" to="10777,4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LEoeMMAAADaAAAADwAAAGRycy9kb3ducmV2LnhtbESPQWsCMRSE7wX/Q3iCt5rVgy2rUcRF&#10;EWwP3Rbx+Ng8N4ublyWJ6/bfN4VCj8PMfMOsNoNtRU8+NI4VzKYZCOLK6YZrBV+f++dXECEia2wd&#10;k4JvCrBZj55WmGv34A/qy1iLBOGQowITY5dLGSpDFsPUdcTJuzpvMSbpa6k9PhLctnKeZQtpseG0&#10;YLCjnaHqVt6tgqEvDqei0G+Xm9n680LP3/flQanJeNguQUQa4n/4r33UCl7g90q6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xKHjDAAAA2gAAAA8AAAAAAAAAAAAA&#10;AAAAoQIAAGRycy9kb3ducmV2LnhtbFBLBQYAAAAABAAEAPkAAACRAwAAAAA=&#10;" strokecolor="gray" strokeweight="1.75pt"/>
                <v:line id="Line 5" o:spid="_x0000_s1028" style="position:absolute;visibility:visible;mso-wrap-style:square" from="1417,514" to="10777,5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QVsAAAADaAAAADwAAAGRycy9kb3ducmV2LnhtbERPy4rCMBTdC/5DuIIb0VRhRKtRRFRU&#10;mMWoH3Bpbh/a3JQm1jpfP1kMuDyc93LdmlI0VLvCsoLxKAJBnFhdcKbgdt0PZyCcR9ZYWiYFb3Kw&#10;XnU7S4y1ffEPNRefiRDCLkYFufdVLKVLcjLoRrYiDlxqa4M+wDqTusZXCDelnETRVBosODTkWNE2&#10;p+RxeRoF9/T39NWMdXqaF7vz+Xs6OGQ0UKrfazcLEJ5a/xH/u49aQdgaroQbIF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17kFbAAAAA2gAAAA8AAAAAAAAAAAAAAAAA&#10;oQIAAGRycy9kb3ducmV2LnhtbFBLBQYAAAAABAAEAPkAAACOAwAAAAA=&#10;" strokecolor="#d3d3d3" strokeweight="1.75pt"/>
                <w10:wrap anchorx="page"/>
              </v:group>
            </w:pict>
          </mc:Fallback>
        </mc:AlternateContent>
      </w:r>
      <w:r w:rsidR="007A5367">
        <w:t>TENDERING</w:t>
      </w:r>
    </w:p>
    <w:p w:rsidR="00C70B1A" w:rsidRDefault="007A5367">
      <w:pPr>
        <w:pStyle w:val="Heading2"/>
        <w:numPr>
          <w:ilvl w:val="0"/>
          <w:numId w:val="5"/>
        </w:numPr>
        <w:tabs>
          <w:tab w:val="left" w:pos="845"/>
        </w:tabs>
        <w:ind w:hanging="426"/>
        <w:jc w:val="left"/>
      </w:pPr>
      <w:r>
        <w:t>How to obtain the tender dossier</w:t>
      </w:r>
    </w:p>
    <w:p w:rsidR="00C70B1A" w:rsidRDefault="007A5367">
      <w:pPr>
        <w:pStyle w:val="BodyText"/>
        <w:spacing w:before="198"/>
        <w:ind w:left="844" w:right="113"/>
        <w:jc w:val="both"/>
      </w:pPr>
      <w:r>
        <w:t xml:space="preserve">The tender dossier is available from the following Internet address: </w:t>
      </w:r>
      <w:hyperlink r:id="rId9">
        <w:r>
          <w:rPr>
            <w:color w:val="0000FF"/>
            <w:u w:val="single" w:color="0000FF"/>
          </w:rPr>
          <w:t>https://webgate.ec.europa.eu/europeaid/online-services/index.cfm?do=publi.welcome</w:t>
        </w:r>
        <w:r>
          <w:t>.</w:t>
        </w:r>
      </w:hyperlink>
      <w:r>
        <w:t xml:space="preserve"> The tender dossier is also available from the contracting authority. Tenders must be submitted using the standard tender form for a supply contract included in the tender dossier, whose format and instructions must be strictly</w:t>
      </w:r>
      <w:r w:rsidR="00C5364E">
        <w:t xml:space="preserve"> </w:t>
      </w:r>
      <w:r>
        <w:t>observed.</w:t>
      </w:r>
    </w:p>
    <w:p w:rsidR="00C70B1A" w:rsidRDefault="007A5367">
      <w:pPr>
        <w:pStyle w:val="BodyText"/>
        <w:tabs>
          <w:tab w:val="left" w:pos="3477"/>
          <w:tab w:val="left" w:pos="5083"/>
        </w:tabs>
        <w:spacing w:before="199"/>
        <w:ind w:left="844" w:right="111"/>
        <w:jc w:val="both"/>
      </w:pPr>
      <w:r>
        <w:t xml:space="preserve">Tenderers with questions regarding this tender should send them in writing to </w:t>
      </w:r>
      <w:r>
        <w:rPr>
          <w:b/>
        </w:rPr>
        <w:t xml:space="preserve">Angel Sekuloski, </w:t>
      </w:r>
      <w:hyperlink r:id="rId10">
        <w:r>
          <w:rPr>
            <w:b/>
          </w:rPr>
          <w:t>asekuloski@gmail.com,</w:t>
        </w:r>
      </w:hyperlink>
      <w:r>
        <w:rPr>
          <w:b/>
        </w:rPr>
        <w:t xml:space="preserve"> Municipality of Debrca, s. Belcista 6344, North Macedonia </w:t>
      </w:r>
      <w:r>
        <w:t>(mentioning the publication reference shown in item 1) at the latest 21 days before the deadline for submission of tenders given in item 19. The contracting authority must reply to all tenderers' questions at the latest 11 days before the deadline for submission of tenders. Eventual clarifications or minor changes to the tender dossier shall be published at the latest 11 days before the submission deadline on the website of DG International Cooperation and Development</w:t>
      </w:r>
      <w:r>
        <w:tab/>
        <w:t>at</w:t>
      </w:r>
      <w:r>
        <w:tab/>
      </w:r>
      <w:hyperlink r:id="rId11">
        <w:r>
          <w:rPr>
            <w:color w:val="0000FF"/>
            <w:spacing w:val="-1"/>
            <w:u w:val="single" w:color="0000FF"/>
          </w:rPr>
          <w:t>https://webgate.ec.europa.eu/europeaid/online-</w:t>
        </w:r>
      </w:hyperlink>
      <w:hyperlink r:id="rId12">
        <w:r>
          <w:rPr>
            <w:color w:val="0000FF"/>
            <w:u w:val="single" w:color="0000FF"/>
          </w:rPr>
          <w:t>services/index.cfm?do=publi.welcome</w:t>
        </w:r>
      </w:hyperlink>
    </w:p>
    <w:p w:rsidR="00C70B1A" w:rsidRDefault="007A5367">
      <w:pPr>
        <w:pStyle w:val="Heading2"/>
        <w:numPr>
          <w:ilvl w:val="0"/>
          <w:numId w:val="5"/>
        </w:numPr>
        <w:tabs>
          <w:tab w:val="left" w:pos="845"/>
        </w:tabs>
        <w:spacing w:before="204"/>
        <w:ind w:hanging="426"/>
        <w:jc w:val="left"/>
      </w:pPr>
      <w:r>
        <w:t>Deadline for submission of</w:t>
      </w:r>
      <w:r w:rsidR="00C5364E">
        <w:t xml:space="preserve"> </w:t>
      </w:r>
      <w:r>
        <w:t>tenders</w:t>
      </w:r>
    </w:p>
    <w:p w:rsidR="00C70B1A" w:rsidRDefault="007A5367">
      <w:pPr>
        <w:pStyle w:val="BodyText"/>
        <w:spacing w:before="196"/>
        <w:ind w:left="779" w:right="146"/>
        <w:jc w:val="both"/>
      </w:pPr>
      <w:r>
        <w:t>The tenderer's attention is drawn to the fact that there are two different systems for sending tenders: one is by post or private mail service, the other is by hand delivery.</w:t>
      </w:r>
    </w:p>
    <w:p w:rsidR="00C70B1A" w:rsidRDefault="007A5367">
      <w:pPr>
        <w:pStyle w:val="BodyText"/>
        <w:spacing w:before="200"/>
        <w:ind w:left="779" w:right="145"/>
        <w:jc w:val="both"/>
      </w:pPr>
      <w:r>
        <w:t>In the first case, the tender must be sent before the date and time limit for submission, as evidenced by the postmark or deposit slip</w:t>
      </w:r>
      <w:r>
        <w:rPr>
          <w:vertAlign w:val="superscript"/>
        </w:rPr>
        <w:t>1</w:t>
      </w:r>
      <w:r>
        <w:t>, but in the second case it is the acknowledgment of receipt given at the time of the delivery of the tender which will serve as proof.</w:t>
      </w:r>
    </w:p>
    <w:p w:rsidR="00C70B1A" w:rsidRDefault="007A5367">
      <w:pPr>
        <w:spacing w:before="201"/>
        <w:ind w:left="844" w:right="115"/>
        <w:jc w:val="both"/>
        <w:rPr>
          <w:i/>
        </w:rPr>
      </w:pPr>
      <w:r>
        <w:t xml:space="preserve">Time and date to be specified- must be at least 30 days for local tenders, after the date of publication of this contract notice </w:t>
      </w:r>
      <w:r>
        <w:rPr>
          <w:i/>
        </w:rPr>
        <w:t>(</w:t>
      </w:r>
      <w:r>
        <w:rPr>
          <w:b/>
          <w:i/>
        </w:rPr>
        <w:t>deadline 16.00 local time, on date: 2 October 2020</w:t>
      </w:r>
      <w:r>
        <w:rPr>
          <w:i/>
        </w:rPr>
        <w:t>)</w:t>
      </w:r>
    </w:p>
    <w:p w:rsidR="00C70B1A" w:rsidRDefault="007A5367">
      <w:pPr>
        <w:pStyle w:val="BodyText"/>
        <w:spacing w:before="198"/>
        <w:ind w:left="844"/>
        <w:jc w:val="both"/>
      </w:pPr>
      <w:r>
        <w:t>Any tender submitted to the contracting authority after this deadline will not be considered.</w:t>
      </w:r>
    </w:p>
    <w:p w:rsidR="00C70B1A" w:rsidRDefault="007A5367">
      <w:pPr>
        <w:pStyle w:val="Heading4"/>
        <w:spacing w:before="207"/>
        <w:ind w:left="844" w:right="138"/>
        <w:jc w:val="both"/>
      </w:pPr>
      <w:r>
        <w:t>The contracting authority may, for reasons of administrative efficiency, reject any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rsidR="00C70B1A" w:rsidRDefault="007A5367">
      <w:pPr>
        <w:spacing w:before="199"/>
        <w:ind w:left="844"/>
        <w:jc w:val="both"/>
        <w:rPr>
          <w:b/>
          <w:sz w:val="24"/>
        </w:rPr>
      </w:pPr>
      <w:r>
        <w:rPr>
          <w:b/>
          <w:sz w:val="24"/>
        </w:rPr>
        <w:t>How tenders may be submitted</w:t>
      </w:r>
    </w:p>
    <w:p w:rsidR="00C70B1A" w:rsidRDefault="007A5367">
      <w:pPr>
        <w:pStyle w:val="BodyText"/>
        <w:spacing w:before="196"/>
        <w:ind w:left="844" w:right="139"/>
        <w:jc w:val="both"/>
      </w:pPr>
      <w:r>
        <w:t>Tenders must be submitted in English exclusively to the contracting authority in a sealed envelope:</w:t>
      </w:r>
    </w:p>
    <w:p w:rsidR="00C70B1A" w:rsidRDefault="007A5367">
      <w:pPr>
        <w:pStyle w:val="ListParagraph"/>
        <w:numPr>
          <w:ilvl w:val="0"/>
          <w:numId w:val="1"/>
        </w:numPr>
        <w:tabs>
          <w:tab w:val="left" w:pos="856"/>
          <w:tab w:val="left" w:pos="857"/>
        </w:tabs>
        <w:spacing w:before="199"/>
        <w:ind w:right="146"/>
      </w:pPr>
      <w:r>
        <w:t>EITHER by post or by courier service, in which case the evidence shall be constituted by the postmark or the date of the deposit slip, to:</w:t>
      </w:r>
    </w:p>
    <w:p w:rsidR="00C70B1A" w:rsidRDefault="007A5367">
      <w:pPr>
        <w:pStyle w:val="BodyText"/>
        <w:spacing w:before="202"/>
        <w:ind w:left="3809" w:right="3436" w:firstLine="300"/>
      </w:pPr>
      <w:r>
        <w:t>Angel Sekuloski Municipality of Debrca</w:t>
      </w:r>
    </w:p>
    <w:p w:rsidR="00C70B1A" w:rsidRDefault="007A5367">
      <w:pPr>
        <w:pStyle w:val="BodyText"/>
        <w:spacing w:line="251" w:lineRule="exact"/>
        <w:ind w:left="4090"/>
      </w:pPr>
      <w:r>
        <w:t>s. Belciska, 6344</w:t>
      </w:r>
    </w:p>
    <w:p w:rsidR="00C70B1A" w:rsidRDefault="00C70B1A">
      <w:pPr>
        <w:pStyle w:val="BodyText"/>
        <w:rPr>
          <w:sz w:val="24"/>
        </w:rPr>
      </w:pPr>
    </w:p>
    <w:p w:rsidR="00C70B1A" w:rsidRDefault="007A5367">
      <w:pPr>
        <w:pStyle w:val="ListParagraph"/>
        <w:numPr>
          <w:ilvl w:val="0"/>
          <w:numId w:val="1"/>
        </w:numPr>
        <w:tabs>
          <w:tab w:val="left" w:pos="856"/>
          <w:tab w:val="left" w:pos="857"/>
        </w:tabs>
        <w:spacing w:before="177"/>
        <w:ind w:hanging="361"/>
      </w:pPr>
      <w:r>
        <w:t>ORhanddeliveredbytheparticipantinpersonorbyanagentdirectlytothepremisesofthe</w:t>
      </w:r>
    </w:p>
    <w:p w:rsidR="00C70B1A" w:rsidRDefault="00C5364E">
      <w:pPr>
        <w:pStyle w:val="BodyText"/>
        <w:spacing w:before="8"/>
        <w:rPr>
          <w:sz w:val="13"/>
        </w:rPr>
      </w:pPr>
      <w:r>
        <w:rPr>
          <w:noProof/>
          <w:lang w:val="mk-MK" w:eastAsia="mk-MK"/>
        </w:rPr>
        <mc:AlternateContent>
          <mc:Choice Requires="wps">
            <w:drawing>
              <wp:anchor distT="0" distB="0" distL="0" distR="0" simplePos="0" relativeHeight="487589888" behindDoc="1" locked="0" layoutInCell="1" allowOverlap="1">
                <wp:simplePos x="0" y="0"/>
                <wp:positionH relativeFrom="page">
                  <wp:posOffset>899160</wp:posOffset>
                </wp:positionH>
                <wp:positionV relativeFrom="paragraph">
                  <wp:posOffset>125095</wp:posOffset>
                </wp:positionV>
                <wp:extent cx="1828800" cy="7620"/>
                <wp:effectExtent l="0" t="0" r="0" b="0"/>
                <wp:wrapTopAndBottom/>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999363" id="Rectangle 3" o:spid="_x0000_s1026" style="position:absolute;margin-left:70.8pt;margin-top:9.85pt;width:2in;height:.6pt;z-index:-15726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" fillcolor="black" stroked="f">
                <w10:wrap type="topAndBottom" anchorx="page"/>
              </v:rect>
            </w:pict>
          </mc:Fallback>
        </mc:AlternateContent>
      </w:r>
    </w:p>
    <w:p w:rsidR="00C70B1A" w:rsidRDefault="007A5367">
      <w:pPr>
        <w:spacing w:before="74"/>
        <w:ind w:left="136"/>
        <w:rPr>
          <w:sz w:val="20"/>
        </w:rPr>
      </w:pPr>
      <w:r>
        <w:rPr>
          <w:sz w:val="20"/>
          <w:vertAlign w:val="superscript"/>
        </w:rPr>
        <w:t>1</w:t>
      </w:r>
      <w:r>
        <w:rPr>
          <w:sz w:val="20"/>
        </w:rPr>
        <w:t xml:space="preserve"> It is recommended to use registered mail in case the postmark would not be readable.</w:t>
      </w:r>
    </w:p>
    <w:p w:rsidR="00C70B1A" w:rsidRDefault="00C70B1A">
      <w:pPr>
        <w:rPr>
          <w:sz w:val="20"/>
        </w:rPr>
        <w:sectPr w:rsidR="00C70B1A">
          <w:pgSz w:w="11910" w:h="16840"/>
          <w:pgMar w:top="1320" w:right="1300" w:bottom="1020" w:left="1280" w:header="0" w:footer="839" w:gutter="0"/>
          <w:cols w:space="720"/>
        </w:sectPr>
      </w:pPr>
    </w:p>
    <w:p w:rsidR="00C70B1A" w:rsidRDefault="007A5367">
      <w:pPr>
        <w:pStyle w:val="BodyText"/>
        <w:spacing w:before="71"/>
        <w:ind w:left="856" w:right="137"/>
        <w:jc w:val="both"/>
      </w:pPr>
      <w:r>
        <w:lastRenderedPageBreak/>
        <w:t>contracting authority in return for a signed and dated receipt, in which case the evidence shall be constituted by this acknowledgement of receipt, to:</w:t>
      </w:r>
    </w:p>
    <w:p w:rsidR="00C70B1A" w:rsidRDefault="007A5367">
      <w:pPr>
        <w:pStyle w:val="BodyText"/>
        <w:spacing w:before="203"/>
        <w:ind w:left="3809" w:right="3449" w:hanging="6"/>
        <w:jc w:val="center"/>
      </w:pPr>
      <w:r>
        <w:t>Angel Sekuloski Municipality of Debrca</w:t>
      </w:r>
    </w:p>
    <w:p w:rsidR="00C70B1A" w:rsidRDefault="007A5367">
      <w:pPr>
        <w:pStyle w:val="BodyText"/>
        <w:spacing w:before="199" w:line="252" w:lineRule="exact"/>
        <w:ind w:left="4119"/>
      </w:pPr>
      <w:r>
        <w:t>+389 46286855</w:t>
      </w:r>
    </w:p>
    <w:p w:rsidR="00C70B1A" w:rsidRDefault="007A5367">
      <w:pPr>
        <w:pStyle w:val="BodyText"/>
        <w:spacing w:line="252" w:lineRule="exact"/>
        <w:ind w:left="4090"/>
      </w:pPr>
      <w:r>
        <w:t>s. Belciska,6344</w:t>
      </w:r>
    </w:p>
    <w:p w:rsidR="00C70B1A" w:rsidRDefault="00C70B1A">
      <w:pPr>
        <w:pStyle w:val="BodyText"/>
        <w:rPr>
          <w:sz w:val="24"/>
        </w:rPr>
      </w:pPr>
    </w:p>
    <w:p w:rsidR="00C70B1A" w:rsidRDefault="007A5367">
      <w:pPr>
        <w:pStyle w:val="BodyText"/>
        <w:spacing w:before="179"/>
        <w:ind w:left="844" w:right="142"/>
        <w:jc w:val="both"/>
      </w:pPr>
      <w:r>
        <w:t>The contract title and the Publication reference (see item 1 above) must be clearly marked on the envelope containing the tender and must always be mentioned in all subsequent correspondence with the contracting authority.</w:t>
      </w:r>
    </w:p>
    <w:p w:rsidR="00C70B1A" w:rsidRDefault="007A5367">
      <w:pPr>
        <w:pStyle w:val="BodyText"/>
        <w:spacing w:before="197"/>
        <w:ind w:left="844"/>
        <w:jc w:val="both"/>
      </w:pPr>
      <w:r>
        <w:t>Tenders submitted by any other means will not be considered.</w:t>
      </w:r>
    </w:p>
    <w:p w:rsidR="00C70B1A" w:rsidRDefault="007A5367">
      <w:pPr>
        <w:pStyle w:val="BodyText"/>
        <w:spacing w:before="203"/>
        <w:ind w:left="844" w:right="139"/>
        <w:jc w:val="both"/>
      </w:pPr>
      <w:r>
        <w:t>By submitting a tender candidates accept to receive notification of the outcome of the procedure by electronic means. Such notification shall be deemed to have been received on the date upon which the contracting authority sends it to the electronic address referred to in thetender.</w:t>
      </w:r>
    </w:p>
    <w:p w:rsidR="00C70B1A" w:rsidRDefault="00C70B1A">
      <w:pPr>
        <w:pStyle w:val="BodyText"/>
        <w:rPr>
          <w:sz w:val="24"/>
        </w:rPr>
      </w:pPr>
    </w:p>
    <w:p w:rsidR="00C70B1A" w:rsidRDefault="00C70B1A">
      <w:pPr>
        <w:pStyle w:val="BodyText"/>
        <w:spacing w:before="1"/>
        <w:rPr>
          <w:sz w:val="33"/>
        </w:rPr>
      </w:pPr>
    </w:p>
    <w:p w:rsidR="00C70B1A" w:rsidRDefault="007A5367">
      <w:pPr>
        <w:pStyle w:val="Heading2"/>
        <w:numPr>
          <w:ilvl w:val="0"/>
          <w:numId w:val="5"/>
        </w:numPr>
        <w:tabs>
          <w:tab w:val="left" w:pos="845"/>
        </w:tabs>
        <w:spacing w:before="0"/>
        <w:ind w:hanging="426"/>
        <w:jc w:val="left"/>
      </w:pPr>
      <w:r>
        <w:t>Tender opening</w:t>
      </w:r>
      <w:r w:rsidR="00C5364E">
        <w:t xml:space="preserve"> </w:t>
      </w:r>
      <w:r>
        <w:t>session</w:t>
      </w:r>
    </w:p>
    <w:p w:rsidR="00C70B1A" w:rsidRDefault="007A5367">
      <w:pPr>
        <w:spacing w:before="197"/>
        <w:ind w:left="779" w:right="112"/>
        <w:jc w:val="both"/>
      </w:pPr>
      <w:r>
        <w:t xml:space="preserve">The opening session will be held on </w:t>
      </w:r>
      <w:r>
        <w:rPr>
          <w:b/>
        </w:rPr>
        <w:t xml:space="preserve">9 October 2020, at 13.00 </w:t>
      </w:r>
      <w:r>
        <w:t>local time, at the Municipality of</w:t>
      </w:r>
      <w:r w:rsidR="00C5364E">
        <w:t xml:space="preserve"> </w:t>
      </w:r>
      <w:r>
        <w:t>Debrca.</w:t>
      </w:r>
    </w:p>
    <w:p w:rsidR="00C70B1A" w:rsidRDefault="007A5367">
      <w:pPr>
        <w:pStyle w:val="BodyText"/>
        <w:spacing w:before="199"/>
        <w:ind w:left="702" w:right="118"/>
        <w:jc w:val="both"/>
      </w:pPr>
      <w:r>
        <w:t>The opening session should be held at least one week after the deadline for submission of tenders.</w:t>
      </w:r>
    </w:p>
    <w:p w:rsidR="00C70B1A" w:rsidRDefault="007A5367">
      <w:pPr>
        <w:pStyle w:val="BodyText"/>
        <w:spacing w:before="200"/>
        <w:ind w:left="702" w:right="112"/>
        <w:jc w:val="both"/>
      </w:pPr>
      <w:r>
        <w:t>In the case that at the date of the opening session some tenders have not been delivered to the contracting authority but their representatives can show evidence that they have been sent on time, the contracting authority will allow them to participate in the first opening session and inform all representatives of the tenderers that a second opening session will be organised.</w:t>
      </w:r>
    </w:p>
    <w:p w:rsidR="00C70B1A" w:rsidRDefault="007A5367">
      <w:pPr>
        <w:pStyle w:val="Heading2"/>
        <w:numPr>
          <w:ilvl w:val="0"/>
          <w:numId w:val="5"/>
        </w:numPr>
        <w:tabs>
          <w:tab w:val="left" w:pos="845"/>
        </w:tabs>
        <w:ind w:hanging="426"/>
        <w:jc w:val="left"/>
      </w:pPr>
      <w:r>
        <w:t>Language of the</w:t>
      </w:r>
      <w:r w:rsidR="00C5364E">
        <w:t xml:space="preserve"> </w:t>
      </w:r>
      <w:r>
        <w:t>procedure</w:t>
      </w:r>
    </w:p>
    <w:p w:rsidR="00C70B1A" w:rsidRDefault="007A5367">
      <w:pPr>
        <w:pStyle w:val="BodyText"/>
        <w:spacing w:before="197"/>
        <w:ind w:left="844"/>
        <w:jc w:val="both"/>
      </w:pPr>
      <w:r>
        <w:t>All written communications for this tender procedure and contract must be in English.</w:t>
      </w:r>
    </w:p>
    <w:p w:rsidR="00C70B1A" w:rsidRDefault="007A5367">
      <w:pPr>
        <w:pStyle w:val="Heading2"/>
        <w:numPr>
          <w:ilvl w:val="0"/>
          <w:numId w:val="5"/>
        </w:numPr>
        <w:tabs>
          <w:tab w:val="left" w:pos="845"/>
        </w:tabs>
        <w:spacing w:before="198"/>
        <w:ind w:hanging="426"/>
        <w:jc w:val="left"/>
        <w:rPr>
          <w:sz w:val="16"/>
        </w:rPr>
      </w:pPr>
      <w:r>
        <w:t>Legal basis</w:t>
      </w:r>
      <w:r>
        <w:rPr>
          <w:position w:val="8"/>
          <w:sz w:val="16"/>
        </w:rPr>
        <w:t>2</w:t>
      </w:r>
    </w:p>
    <w:p w:rsidR="00C70B1A" w:rsidRDefault="007A5367">
      <w:pPr>
        <w:pStyle w:val="BodyText"/>
        <w:spacing w:before="199"/>
        <w:ind w:left="683" w:right="318"/>
        <w:jc w:val="both"/>
      </w:pPr>
      <w:r>
        <w:t>Regulation (EU) No 236/2014 of the European Parliament and of the Council of 11 March 2014 laying down common rules and procedures for the implementation of the Union's instruments for financing external action and Regulation (EU) No 231/2017 of the European Parliament and the of the Council of 11 March 2014 establishing an Instrument for Pre- Accession Assistance (IPA II)- IPA II Regulation.</w:t>
      </w:r>
    </w:p>
    <w:p w:rsidR="00C70B1A" w:rsidRDefault="00C70B1A">
      <w:pPr>
        <w:pStyle w:val="BodyText"/>
        <w:rPr>
          <w:sz w:val="24"/>
        </w:rPr>
      </w:pPr>
    </w:p>
    <w:p w:rsidR="00C70B1A" w:rsidRDefault="00C70B1A">
      <w:pPr>
        <w:pStyle w:val="BodyText"/>
        <w:rPr>
          <w:sz w:val="33"/>
        </w:rPr>
      </w:pPr>
    </w:p>
    <w:p w:rsidR="00C70B1A" w:rsidRDefault="007A5367">
      <w:pPr>
        <w:pStyle w:val="Heading2"/>
        <w:numPr>
          <w:ilvl w:val="0"/>
          <w:numId w:val="5"/>
        </w:numPr>
        <w:tabs>
          <w:tab w:val="left" w:pos="845"/>
        </w:tabs>
        <w:spacing w:before="0"/>
        <w:ind w:hanging="426"/>
        <w:jc w:val="left"/>
      </w:pPr>
      <w:r>
        <w:t>Additionalinformation</w:t>
      </w:r>
    </w:p>
    <w:p w:rsidR="00C70B1A" w:rsidRDefault="007A5367">
      <w:pPr>
        <w:pStyle w:val="BodyText"/>
        <w:spacing w:before="197"/>
        <w:ind w:left="779" w:right="473"/>
        <w:jc w:val="both"/>
      </w:pPr>
      <w:r>
        <w:t>Financial data to be provided by the tenderer in the standard tender form must  be expressed in EUR. If applicable, where a candidate refers to amounts originally expressed in a different currency, the conversion to EUR shall be made in accordance with</w:t>
      </w:r>
      <w:r w:rsidR="00C5364E">
        <w:t xml:space="preserve"> </w:t>
      </w:r>
      <w:r>
        <w:t>the</w:t>
      </w:r>
    </w:p>
    <w:p w:rsidR="00C70B1A" w:rsidRDefault="00C5364E">
      <w:pPr>
        <w:pStyle w:val="BodyText"/>
        <w:spacing w:before="2"/>
        <w:rPr>
          <w:sz w:val="14"/>
        </w:rPr>
      </w:pPr>
      <w:r>
        <w:rPr>
          <w:noProof/>
          <w:lang w:val="mk-MK" w:eastAsia="mk-MK"/>
        </w:rPr>
        <mc:AlternateContent>
          <mc:Choice Requires="wps">
            <w:drawing>
              <wp:anchor distT="0" distB="0" distL="0" distR="0" simplePos="0" relativeHeight="487590912" behindDoc="1" locked="0" layoutInCell="1" allowOverlap="1">
                <wp:simplePos x="0" y="0"/>
                <wp:positionH relativeFrom="page">
                  <wp:posOffset>899160</wp:posOffset>
                </wp:positionH>
                <wp:positionV relativeFrom="paragraph">
                  <wp:posOffset>128270</wp:posOffset>
                </wp:positionV>
                <wp:extent cx="1828800" cy="7620"/>
                <wp:effectExtent l="0" t="0" r="0" b="0"/>
                <wp:wrapTopAndBottom/>
                <wp:docPr id="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418D5" id="Rectangle 2" o:spid="_x0000_s1026" style="position:absolute;margin-left:70.8pt;margin-top:10.1pt;width:2in;height:.6pt;z-index:-15725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" fillcolor="black" stroked="f">
                <w10:wrap type="topAndBottom" anchorx="page"/>
              </v:rect>
            </w:pict>
          </mc:Fallback>
        </mc:AlternateContent>
      </w:r>
    </w:p>
    <w:p w:rsidR="00C70B1A" w:rsidRDefault="007A5367">
      <w:pPr>
        <w:spacing w:before="74"/>
        <w:ind w:left="136" w:right="189"/>
        <w:rPr>
          <w:sz w:val="20"/>
        </w:rPr>
      </w:pPr>
      <w:r>
        <w:rPr>
          <w:sz w:val="20"/>
          <w:vertAlign w:val="superscript"/>
        </w:rPr>
        <w:t>2</w:t>
      </w:r>
      <w:r>
        <w:rPr>
          <w:sz w:val="20"/>
        </w:rPr>
        <w:t xml:space="preserve"> Please state any specificity that might have an impact on rules on participation (such as geographic or thematic or long/short term).</w:t>
      </w:r>
    </w:p>
    <w:p w:rsidR="00C70B1A" w:rsidRDefault="00C70B1A">
      <w:pPr>
        <w:rPr>
          <w:sz w:val="20"/>
        </w:rPr>
        <w:sectPr w:rsidR="00C70B1A">
          <w:pgSz w:w="11910" w:h="16840"/>
          <w:pgMar w:top="1320" w:right="1300" w:bottom="1020" w:left="1280" w:header="0" w:footer="839" w:gutter="0"/>
          <w:cols w:space="720"/>
        </w:sectPr>
      </w:pPr>
    </w:p>
    <w:p w:rsidR="00C70B1A" w:rsidRDefault="007A5367">
      <w:pPr>
        <w:pStyle w:val="BodyText"/>
        <w:spacing w:before="71"/>
        <w:ind w:left="779" w:right="473"/>
        <w:jc w:val="both"/>
      </w:pPr>
      <w:r>
        <w:lastRenderedPageBreak/>
        <w:t xml:space="preserve">InforEuro exchange rate of </w:t>
      </w:r>
      <w:r>
        <w:rPr>
          <w:b/>
        </w:rPr>
        <w:t xml:space="preserve">August and 2020 </w:t>
      </w:r>
      <w:r>
        <w:t xml:space="preserve">of the applicable InforEuro exchange rate, which can either correspond to the month and year of the publication of the present contract notice or the month and year corresponding to the deadline for submitting applications], which can be found at the following address: </w:t>
      </w:r>
      <w:hyperlink r:id="rId13">
        <w:r>
          <w:rPr>
            <w:color w:val="0000FF"/>
            <w:u w:val="single" w:color="0000FF"/>
          </w:rPr>
          <w:t>http://ec.europa.eu/budget/graphs/inforeuro.html</w:t>
        </w:r>
        <w:r>
          <w:t>.</w:t>
        </w:r>
      </w:hyperlink>
      <w:bookmarkStart w:id="0" w:name="_GoBack"/>
      <w:bookmarkEnd w:id="0"/>
    </w:p>
    <w:sectPr w:rsidR="00C70B1A" w:rsidSect="00CA6277">
      <w:pgSz w:w="11910" w:h="16840"/>
      <w:pgMar w:top="1320" w:right="1300" w:bottom="1020" w:left="1280" w:header="0" w:footer="83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61BC" w:rsidRDefault="006961BC">
      <w:r>
        <w:separator/>
      </w:r>
    </w:p>
  </w:endnote>
  <w:endnote w:type="continuationSeparator" w:id="0">
    <w:p w:rsidR="006961BC" w:rsidRDefault="00696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B1A" w:rsidRDefault="00C5364E">
    <w:pPr>
      <w:pStyle w:val="BodyText"/>
      <w:spacing w:line="14" w:lineRule="auto"/>
      <w:rPr>
        <w:sz w:val="20"/>
      </w:rPr>
    </w:pPr>
    <w:r>
      <w:rPr>
        <w:noProof/>
        <w:lang w:val="mk-MK" w:eastAsia="mk-MK"/>
      </w:rPr>
      <mc:AlternateContent>
        <mc:Choice Requires="wps">
          <w:drawing>
            <wp:anchor distT="0" distB="0" distL="114300" distR="114300" simplePos="0" relativeHeight="487457280" behindDoc="1" locked="0" layoutInCell="1" allowOverlap="1">
              <wp:simplePos x="0" y="0"/>
              <wp:positionH relativeFrom="page">
                <wp:posOffset>886460</wp:posOffset>
              </wp:positionH>
              <wp:positionV relativeFrom="page">
                <wp:posOffset>10019665</wp:posOffset>
              </wp:positionV>
              <wp:extent cx="1166495" cy="283845"/>
              <wp:effectExtent l="0" t="0" r="14605" b="190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283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0B1A" w:rsidRDefault="007A5367">
                          <w:pPr>
                            <w:spacing w:before="12"/>
                            <w:ind w:left="20"/>
                            <w:rPr>
                              <w:b/>
                              <w:sz w:val="18"/>
                            </w:rPr>
                          </w:pPr>
                          <w:r>
                            <w:rPr>
                              <w:b/>
                              <w:sz w:val="18"/>
                            </w:rPr>
                            <w:t>July 2019</w:t>
                          </w:r>
                        </w:p>
                        <w:p w:rsidR="00C70B1A" w:rsidRDefault="007A5367">
                          <w:pPr>
                            <w:ind w:left="20"/>
                            <w:rPr>
                              <w:sz w:val="18"/>
                            </w:rPr>
                          </w:pPr>
                          <w:r>
                            <w:rPr>
                              <w:sz w:val="18"/>
                            </w:rPr>
                            <w:t>c2_contractnotice_en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9.8pt;margin-top:788.95pt;width:91.85pt;height:22.35pt;z-index:-1585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" filled="f" stroked="f">
              <v:textbox inset="0,0,0,0">
                <w:txbxContent>
                  <w:p w:rsidR="00C70B1A" w:rsidRDefault="007A5367">
                    <w:pPr>
                      <w:spacing w:before="12"/>
                      <w:ind w:left="20"/>
                      <w:rPr>
                        <w:b/>
                        <w:sz w:val="18"/>
                      </w:rPr>
                    </w:pPr>
                    <w:r>
                      <w:rPr>
                        <w:b/>
                        <w:sz w:val="18"/>
                      </w:rPr>
                      <w:t>July 2019</w:t>
                    </w:r>
                  </w:p>
                  <w:p w:rsidR="00C70B1A" w:rsidRDefault="007A5367">
                    <w:pPr>
                      <w:ind w:left="20"/>
                      <w:rPr>
                        <w:sz w:val="18"/>
                      </w:rPr>
                    </w:pPr>
                    <w:r>
                      <w:rPr>
                        <w:sz w:val="18"/>
                      </w:rPr>
                      <w:t>c2_contractnotice_en (1)</w:t>
                    </w:r>
                  </w:p>
                </w:txbxContent>
              </v:textbox>
              <w10:wrap anchorx="page" anchory="page"/>
            </v:shape>
          </w:pict>
        </mc:Fallback>
      </mc:AlternateContent>
    </w:r>
    <w:r>
      <w:rPr>
        <w:noProof/>
        <w:lang w:val="mk-MK" w:eastAsia="mk-MK"/>
      </w:rPr>
      <mc:AlternateContent>
        <mc:Choice Requires="wps">
          <w:drawing>
            <wp:anchor distT="0" distB="0" distL="114300" distR="114300" simplePos="0" relativeHeight="487457792" behindDoc="1" locked="0" layoutInCell="1" allowOverlap="1">
              <wp:simplePos x="0" y="0"/>
              <wp:positionH relativeFrom="page">
                <wp:posOffset>6130290</wp:posOffset>
              </wp:positionH>
              <wp:positionV relativeFrom="page">
                <wp:posOffset>10019665</wp:posOffset>
              </wp:positionV>
              <wp:extent cx="542925" cy="152400"/>
              <wp:effectExtent l="0" t="0" r="9525"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92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0B1A" w:rsidRDefault="007A5367">
                          <w:pPr>
                            <w:spacing w:before="12"/>
                            <w:ind w:left="20"/>
                            <w:rPr>
                              <w:sz w:val="18"/>
                            </w:rPr>
                          </w:pPr>
                          <w:r>
                            <w:rPr>
                              <w:sz w:val="18"/>
                            </w:rPr>
                            <w:t xml:space="preserve">Page </w:t>
                          </w:r>
                          <w:r w:rsidR="002B046D">
                            <w:fldChar w:fldCharType="begin"/>
                          </w:r>
                          <w:r>
                            <w:rPr>
                              <w:sz w:val="18"/>
                            </w:rPr>
                            <w:instrText xml:space="preserve"> PAGE </w:instrText>
                          </w:r>
                          <w:r w:rsidR="002B046D">
                            <w:fldChar w:fldCharType="separate"/>
                          </w:r>
                          <w:r w:rsidR="00C5364E">
                            <w:rPr>
                              <w:noProof/>
                              <w:sz w:val="18"/>
                            </w:rPr>
                            <w:t>8</w:t>
                          </w:r>
                          <w:r w:rsidR="002B046D">
                            <w:fldChar w:fldCharType="end"/>
                          </w:r>
                          <w:r>
                            <w:rPr>
                              <w:sz w:val="18"/>
                            </w:rP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27" type="#_x0000_t202" style="position:absolute;margin-left:482.7pt;margin-top:788.95pt;width:42.75pt;height:12pt;z-index:-15858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" filled="f" stroked="f">
              <v:textbox inset="0,0,0,0">
                <w:txbxContent>
                  <w:p w:rsidR="00C70B1A" w:rsidRDefault="007A5367">
                    <w:pPr>
                      <w:spacing w:before="12"/>
                      <w:ind w:left="20"/>
                      <w:rPr>
                        <w:sz w:val="18"/>
                      </w:rPr>
                    </w:pPr>
                    <w:r>
                      <w:rPr>
                        <w:sz w:val="18"/>
                      </w:rPr>
                      <w:t xml:space="preserve">Page </w:t>
                    </w:r>
                    <w:r w:rsidR="002B046D">
                      <w:fldChar w:fldCharType="begin"/>
                    </w:r>
                    <w:r>
                      <w:rPr>
                        <w:sz w:val="18"/>
                      </w:rPr>
                      <w:instrText xml:space="preserve"> PAGE </w:instrText>
                    </w:r>
                    <w:r w:rsidR="002B046D">
                      <w:fldChar w:fldCharType="separate"/>
                    </w:r>
                    <w:r w:rsidR="00C5364E">
                      <w:rPr>
                        <w:noProof/>
                        <w:sz w:val="18"/>
                      </w:rPr>
                      <w:t>8</w:t>
                    </w:r>
                    <w:r w:rsidR="002B046D">
                      <w:fldChar w:fldCharType="end"/>
                    </w:r>
                    <w:r>
                      <w:rPr>
                        <w:sz w:val="18"/>
                      </w:rPr>
                      <w:t xml:space="preserve"> of 8</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61BC" w:rsidRDefault="006961BC">
      <w:r>
        <w:separator/>
      </w:r>
    </w:p>
  </w:footnote>
  <w:footnote w:type="continuationSeparator" w:id="0">
    <w:p w:rsidR="006961BC" w:rsidRDefault="00696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E7A00"/>
    <w:multiLevelType w:val="hybridMultilevel"/>
    <w:tmpl w:val="24866FCA"/>
    <w:lvl w:ilvl="0" w:tplc="26A4B56E">
      <w:numFmt w:val="bullet"/>
      <w:lvlText w:val=""/>
      <w:lvlJc w:val="left"/>
      <w:pPr>
        <w:ind w:left="1696" w:hanging="425"/>
      </w:pPr>
      <w:rPr>
        <w:rFonts w:ascii="Symbol" w:eastAsia="Symbol" w:hAnsi="Symbol" w:cs="Symbol" w:hint="default"/>
        <w:w w:val="100"/>
        <w:sz w:val="22"/>
        <w:szCs w:val="22"/>
        <w:lang w:val="en-US" w:eastAsia="en-US" w:bidi="ar-SA"/>
      </w:rPr>
    </w:lvl>
    <w:lvl w:ilvl="1" w:tplc="F482AA88">
      <w:numFmt w:val="bullet"/>
      <w:lvlText w:val="•"/>
      <w:lvlJc w:val="left"/>
      <w:pPr>
        <w:ind w:left="2462" w:hanging="425"/>
      </w:pPr>
      <w:rPr>
        <w:rFonts w:hint="default"/>
        <w:lang w:val="en-US" w:eastAsia="en-US" w:bidi="ar-SA"/>
      </w:rPr>
    </w:lvl>
    <w:lvl w:ilvl="2" w:tplc="BD98123C">
      <w:numFmt w:val="bullet"/>
      <w:lvlText w:val="•"/>
      <w:lvlJc w:val="left"/>
      <w:pPr>
        <w:ind w:left="3225" w:hanging="425"/>
      </w:pPr>
      <w:rPr>
        <w:rFonts w:hint="default"/>
        <w:lang w:val="en-US" w:eastAsia="en-US" w:bidi="ar-SA"/>
      </w:rPr>
    </w:lvl>
    <w:lvl w:ilvl="3" w:tplc="F44EDE1A">
      <w:numFmt w:val="bullet"/>
      <w:lvlText w:val="•"/>
      <w:lvlJc w:val="left"/>
      <w:pPr>
        <w:ind w:left="3987" w:hanging="425"/>
      </w:pPr>
      <w:rPr>
        <w:rFonts w:hint="default"/>
        <w:lang w:val="en-US" w:eastAsia="en-US" w:bidi="ar-SA"/>
      </w:rPr>
    </w:lvl>
    <w:lvl w:ilvl="4" w:tplc="068A5F24">
      <w:numFmt w:val="bullet"/>
      <w:lvlText w:val="•"/>
      <w:lvlJc w:val="left"/>
      <w:pPr>
        <w:ind w:left="4750" w:hanging="425"/>
      </w:pPr>
      <w:rPr>
        <w:rFonts w:hint="default"/>
        <w:lang w:val="en-US" w:eastAsia="en-US" w:bidi="ar-SA"/>
      </w:rPr>
    </w:lvl>
    <w:lvl w:ilvl="5" w:tplc="73FABF78">
      <w:numFmt w:val="bullet"/>
      <w:lvlText w:val="•"/>
      <w:lvlJc w:val="left"/>
      <w:pPr>
        <w:ind w:left="5513" w:hanging="425"/>
      </w:pPr>
      <w:rPr>
        <w:rFonts w:hint="default"/>
        <w:lang w:val="en-US" w:eastAsia="en-US" w:bidi="ar-SA"/>
      </w:rPr>
    </w:lvl>
    <w:lvl w:ilvl="6" w:tplc="1AC4351E">
      <w:numFmt w:val="bullet"/>
      <w:lvlText w:val="•"/>
      <w:lvlJc w:val="left"/>
      <w:pPr>
        <w:ind w:left="6275" w:hanging="425"/>
      </w:pPr>
      <w:rPr>
        <w:rFonts w:hint="default"/>
        <w:lang w:val="en-US" w:eastAsia="en-US" w:bidi="ar-SA"/>
      </w:rPr>
    </w:lvl>
    <w:lvl w:ilvl="7" w:tplc="0B38E7FE">
      <w:numFmt w:val="bullet"/>
      <w:lvlText w:val="•"/>
      <w:lvlJc w:val="left"/>
      <w:pPr>
        <w:ind w:left="7038" w:hanging="425"/>
      </w:pPr>
      <w:rPr>
        <w:rFonts w:hint="default"/>
        <w:lang w:val="en-US" w:eastAsia="en-US" w:bidi="ar-SA"/>
      </w:rPr>
    </w:lvl>
    <w:lvl w:ilvl="8" w:tplc="9488AFEA">
      <w:numFmt w:val="bullet"/>
      <w:lvlText w:val="•"/>
      <w:lvlJc w:val="left"/>
      <w:pPr>
        <w:ind w:left="7801" w:hanging="425"/>
      </w:pPr>
      <w:rPr>
        <w:rFonts w:hint="default"/>
        <w:lang w:val="en-US" w:eastAsia="en-US" w:bidi="ar-SA"/>
      </w:rPr>
    </w:lvl>
  </w:abstractNum>
  <w:abstractNum w:abstractNumId="1">
    <w:nsid w:val="220E375E"/>
    <w:multiLevelType w:val="hybridMultilevel"/>
    <w:tmpl w:val="84C4D4CE"/>
    <w:lvl w:ilvl="0" w:tplc="5B10FFCC">
      <w:start w:val="1"/>
      <w:numFmt w:val="decimal"/>
      <w:lvlText w:val="%1."/>
      <w:lvlJc w:val="left"/>
      <w:pPr>
        <w:ind w:left="844" w:hanging="425"/>
        <w:jc w:val="right"/>
      </w:pPr>
      <w:rPr>
        <w:rFonts w:ascii="Times New Roman" w:eastAsia="Times New Roman" w:hAnsi="Times New Roman" w:cs="Times New Roman" w:hint="default"/>
        <w:b/>
        <w:bCs/>
        <w:spacing w:val="-3"/>
        <w:w w:val="99"/>
        <w:sz w:val="24"/>
        <w:szCs w:val="24"/>
        <w:lang w:val="en-US" w:eastAsia="en-US" w:bidi="ar-SA"/>
      </w:rPr>
    </w:lvl>
    <w:lvl w:ilvl="1" w:tplc="DE949622">
      <w:start w:val="1"/>
      <w:numFmt w:val="decimal"/>
      <w:lvlText w:val="%2)"/>
      <w:lvlJc w:val="left"/>
      <w:pPr>
        <w:ind w:left="1346" w:hanging="360"/>
      </w:pPr>
      <w:rPr>
        <w:rFonts w:ascii="Times New Roman" w:eastAsia="Times New Roman" w:hAnsi="Times New Roman" w:cs="Times New Roman" w:hint="default"/>
        <w:w w:val="100"/>
        <w:sz w:val="22"/>
        <w:szCs w:val="22"/>
        <w:lang w:val="en-US" w:eastAsia="en-US" w:bidi="ar-SA"/>
      </w:rPr>
    </w:lvl>
    <w:lvl w:ilvl="2" w:tplc="1DBE72C6">
      <w:numFmt w:val="bullet"/>
      <w:lvlText w:val="-"/>
      <w:lvlJc w:val="left"/>
      <w:pPr>
        <w:ind w:left="1346" w:hanging="351"/>
      </w:pPr>
      <w:rPr>
        <w:rFonts w:ascii="Times New Roman" w:eastAsia="Times New Roman" w:hAnsi="Times New Roman" w:cs="Times New Roman" w:hint="default"/>
        <w:w w:val="100"/>
        <w:sz w:val="22"/>
        <w:szCs w:val="22"/>
        <w:lang w:val="en-US" w:eastAsia="en-US" w:bidi="ar-SA"/>
      </w:rPr>
    </w:lvl>
    <w:lvl w:ilvl="3" w:tplc="B0B219D8">
      <w:numFmt w:val="bullet"/>
      <w:lvlText w:val="•"/>
      <w:lvlJc w:val="left"/>
      <w:pPr>
        <w:ind w:left="3114" w:hanging="351"/>
      </w:pPr>
      <w:rPr>
        <w:rFonts w:hint="default"/>
        <w:lang w:val="en-US" w:eastAsia="en-US" w:bidi="ar-SA"/>
      </w:rPr>
    </w:lvl>
    <w:lvl w:ilvl="4" w:tplc="C1AC8066">
      <w:numFmt w:val="bullet"/>
      <w:lvlText w:val="•"/>
      <w:lvlJc w:val="left"/>
      <w:pPr>
        <w:ind w:left="4002" w:hanging="351"/>
      </w:pPr>
      <w:rPr>
        <w:rFonts w:hint="default"/>
        <w:lang w:val="en-US" w:eastAsia="en-US" w:bidi="ar-SA"/>
      </w:rPr>
    </w:lvl>
    <w:lvl w:ilvl="5" w:tplc="53E27378">
      <w:numFmt w:val="bullet"/>
      <w:lvlText w:val="•"/>
      <w:lvlJc w:val="left"/>
      <w:pPr>
        <w:ind w:left="4889" w:hanging="351"/>
      </w:pPr>
      <w:rPr>
        <w:rFonts w:hint="default"/>
        <w:lang w:val="en-US" w:eastAsia="en-US" w:bidi="ar-SA"/>
      </w:rPr>
    </w:lvl>
    <w:lvl w:ilvl="6" w:tplc="530EB662">
      <w:numFmt w:val="bullet"/>
      <w:lvlText w:val="•"/>
      <w:lvlJc w:val="left"/>
      <w:pPr>
        <w:ind w:left="5776" w:hanging="351"/>
      </w:pPr>
      <w:rPr>
        <w:rFonts w:hint="default"/>
        <w:lang w:val="en-US" w:eastAsia="en-US" w:bidi="ar-SA"/>
      </w:rPr>
    </w:lvl>
    <w:lvl w:ilvl="7" w:tplc="67F6A336">
      <w:numFmt w:val="bullet"/>
      <w:lvlText w:val="•"/>
      <w:lvlJc w:val="left"/>
      <w:pPr>
        <w:ind w:left="6664" w:hanging="351"/>
      </w:pPr>
      <w:rPr>
        <w:rFonts w:hint="default"/>
        <w:lang w:val="en-US" w:eastAsia="en-US" w:bidi="ar-SA"/>
      </w:rPr>
    </w:lvl>
    <w:lvl w:ilvl="8" w:tplc="C50854EC">
      <w:numFmt w:val="bullet"/>
      <w:lvlText w:val="•"/>
      <w:lvlJc w:val="left"/>
      <w:pPr>
        <w:ind w:left="7551" w:hanging="351"/>
      </w:pPr>
      <w:rPr>
        <w:rFonts w:hint="default"/>
        <w:lang w:val="en-US" w:eastAsia="en-US" w:bidi="ar-SA"/>
      </w:rPr>
    </w:lvl>
  </w:abstractNum>
  <w:abstractNum w:abstractNumId="2">
    <w:nsid w:val="245502C6"/>
    <w:multiLevelType w:val="hybridMultilevel"/>
    <w:tmpl w:val="083E838A"/>
    <w:lvl w:ilvl="0" w:tplc="E918E152">
      <w:numFmt w:val="bullet"/>
      <w:lvlText w:val=""/>
      <w:lvlJc w:val="left"/>
      <w:pPr>
        <w:ind w:left="1696" w:hanging="425"/>
      </w:pPr>
      <w:rPr>
        <w:rFonts w:ascii="Symbol" w:eastAsia="Symbol" w:hAnsi="Symbol" w:cs="Symbol" w:hint="default"/>
        <w:w w:val="100"/>
        <w:sz w:val="22"/>
        <w:szCs w:val="22"/>
        <w:lang w:val="en-US" w:eastAsia="en-US" w:bidi="ar-SA"/>
      </w:rPr>
    </w:lvl>
    <w:lvl w:ilvl="1" w:tplc="A3FC99A8">
      <w:numFmt w:val="bullet"/>
      <w:lvlText w:val="•"/>
      <w:lvlJc w:val="left"/>
      <w:pPr>
        <w:ind w:left="2462" w:hanging="425"/>
      </w:pPr>
      <w:rPr>
        <w:rFonts w:hint="default"/>
        <w:lang w:val="en-US" w:eastAsia="en-US" w:bidi="ar-SA"/>
      </w:rPr>
    </w:lvl>
    <w:lvl w:ilvl="2" w:tplc="6C7C4B9C">
      <w:numFmt w:val="bullet"/>
      <w:lvlText w:val="•"/>
      <w:lvlJc w:val="left"/>
      <w:pPr>
        <w:ind w:left="3225" w:hanging="425"/>
      </w:pPr>
      <w:rPr>
        <w:rFonts w:hint="default"/>
        <w:lang w:val="en-US" w:eastAsia="en-US" w:bidi="ar-SA"/>
      </w:rPr>
    </w:lvl>
    <w:lvl w:ilvl="3" w:tplc="F8406704">
      <w:numFmt w:val="bullet"/>
      <w:lvlText w:val="•"/>
      <w:lvlJc w:val="left"/>
      <w:pPr>
        <w:ind w:left="3987" w:hanging="425"/>
      </w:pPr>
      <w:rPr>
        <w:rFonts w:hint="default"/>
        <w:lang w:val="en-US" w:eastAsia="en-US" w:bidi="ar-SA"/>
      </w:rPr>
    </w:lvl>
    <w:lvl w:ilvl="4" w:tplc="9ABA361E">
      <w:numFmt w:val="bullet"/>
      <w:lvlText w:val="•"/>
      <w:lvlJc w:val="left"/>
      <w:pPr>
        <w:ind w:left="4750" w:hanging="425"/>
      </w:pPr>
      <w:rPr>
        <w:rFonts w:hint="default"/>
        <w:lang w:val="en-US" w:eastAsia="en-US" w:bidi="ar-SA"/>
      </w:rPr>
    </w:lvl>
    <w:lvl w:ilvl="5" w:tplc="7E6455FC">
      <w:numFmt w:val="bullet"/>
      <w:lvlText w:val="•"/>
      <w:lvlJc w:val="left"/>
      <w:pPr>
        <w:ind w:left="5513" w:hanging="425"/>
      </w:pPr>
      <w:rPr>
        <w:rFonts w:hint="default"/>
        <w:lang w:val="en-US" w:eastAsia="en-US" w:bidi="ar-SA"/>
      </w:rPr>
    </w:lvl>
    <w:lvl w:ilvl="6" w:tplc="2D86BD10">
      <w:numFmt w:val="bullet"/>
      <w:lvlText w:val="•"/>
      <w:lvlJc w:val="left"/>
      <w:pPr>
        <w:ind w:left="6275" w:hanging="425"/>
      </w:pPr>
      <w:rPr>
        <w:rFonts w:hint="default"/>
        <w:lang w:val="en-US" w:eastAsia="en-US" w:bidi="ar-SA"/>
      </w:rPr>
    </w:lvl>
    <w:lvl w:ilvl="7" w:tplc="9FE0F3A0">
      <w:numFmt w:val="bullet"/>
      <w:lvlText w:val="•"/>
      <w:lvlJc w:val="left"/>
      <w:pPr>
        <w:ind w:left="7038" w:hanging="425"/>
      </w:pPr>
      <w:rPr>
        <w:rFonts w:hint="default"/>
        <w:lang w:val="en-US" w:eastAsia="en-US" w:bidi="ar-SA"/>
      </w:rPr>
    </w:lvl>
    <w:lvl w:ilvl="8" w:tplc="FC3E723E">
      <w:numFmt w:val="bullet"/>
      <w:lvlText w:val="•"/>
      <w:lvlJc w:val="left"/>
      <w:pPr>
        <w:ind w:left="7801" w:hanging="425"/>
      </w:pPr>
      <w:rPr>
        <w:rFonts w:hint="default"/>
        <w:lang w:val="en-US" w:eastAsia="en-US" w:bidi="ar-SA"/>
      </w:rPr>
    </w:lvl>
  </w:abstractNum>
  <w:abstractNum w:abstractNumId="3">
    <w:nsid w:val="4B5A7674"/>
    <w:multiLevelType w:val="hybridMultilevel"/>
    <w:tmpl w:val="0BB0A1B0"/>
    <w:lvl w:ilvl="0" w:tplc="47A4E4B2">
      <w:numFmt w:val="bullet"/>
      <w:lvlText w:val=""/>
      <w:lvlJc w:val="left"/>
      <w:pPr>
        <w:ind w:left="1696" w:hanging="425"/>
      </w:pPr>
      <w:rPr>
        <w:rFonts w:ascii="Symbol" w:eastAsia="Symbol" w:hAnsi="Symbol" w:cs="Symbol" w:hint="default"/>
        <w:w w:val="100"/>
        <w:sz w:val="22"/>
        <w:szCs w:val="22"/>
        <w:lang w:val="en-US" w:eastAsia="en-US" w:bidi="ar-SA"/>
      </w:rPr>
    </w:lvl>
    <w:lvl w:ilvl="1" w:tplc="1B5E3E36">
      <w:numFmt w:val="bullet"/>
      <w:lvlText w:val="•"/>
      <w:lvlJc w:val="left"/>
      <w:pPr>
        <w:ind w:left="2462" w:hanging="425"/>
      </w:pPr>
      <w:rPr>
        <w:rFonts w:hint="default"/>
        <w:lang w:val="en-US" w:eastAsia="en-US" w:bidi="ar-SA"/>
      </w:rPr>
    </w:lvl>
    <w:lvl w:ilvl="2" w:tplc="FEA6C184">
      <w:numFmt w:val="bullet"/>
      <w:lvlText w:val="•"/>
      <w:lvlJc w:val="left"/>
      <w:pPr>
        <w:ind w:left="3225" w:hanging="425"/>
      </w:pPr>
      <w:rPr>
        <w:rFonts w:hint="default"/>
        <w:lang w:val="en-US" w:eastAsia="en-US" w:bidi="ar-SA"/>
      </w:rPr>
    </w:lvl>
    <w:lvl w:ilvl="3" w:tplc="70E6B216">
      <w:numFmt w:val="bullet"/>
      <w:lvlText w:val="•"/>
      <w:lvlJc w:val="left"/>
      <w:pPr>
        <w:ind w:left="3987" w:hanging="425"/>
      </w:pPr>
      <w:rPr>
        <w:rFonts w:hint="default"/>
        <w:lang w:val="en-US" w:eastAsia="en-US" w:bidi="ar-SA"/>
      </w:rPr>
    </w:lvl>
    <w:lvl w:ilvl="4" w:tplc="8A380C28">
      <w:numFmt w:val="bullet"/>
      <w:lvlText w:val="•"/>
      <w:lvlJc w:val="left"/>
      <w:pPr>
        <w:ind w:left="4750" w:hanging="425"/>
      </w:pPr>
      <w:rPr>
        <w:rFonts w:hint="default"/>
        <w:lang w:val="en-US" w:eastAsia="en-US" w:bidi="ar-SA"/>
      </w:rPr>
    </w:lvl>
    <w:lvl w:ilvl="5" w:tplc="B92442F8">
      <w:numFmt w:val="bullet"/>
      <w:lvlText w:val="•"/>
      <w:lvlJc w:val="left"/>
      <w:pPr>
        <w:ind w:left="5513" w:hanging="425"/>
      </w:pPr>
      <w:rPr>
        <w:rFonts w:hint="default"/>
        <w:lang w:val="en-US" w:eastAsia="en-US" w:bidi="ar-SA"/>
      </w:rPr>
    </w:lvl>
    <w:lvl w:ilvl="6" w:tplc="A684836C">
      <w:numFmt w:val="bullet"/>
      <w:lvlText w:val="•"/>
      <w:lvlJc w:val="left"/>
      <w:pPr>
        <w:ind w:left="6275" w:hanging="425"/>
      </w:pPr>
      <w:rPr>
        <w:rFonts w:hint="default"/>
        <w:lang w:val="en-US" w:eastAsia="en-US" w:bidi="ar-SA"/>
      </w:rPr>
    </w:lvl>
    <w:lvl w:ilvl="7" w:tplc="522E3F2C">
      <w:numFmt w:val="bullet"/>
      <w:lvlText w:val="•"/>
      <w:lvlJc w:val="left"/>
      <w:pPr>
        <w:ind w:left="7038" w:hanging="425"/>
      </w:pPr>
      <w:rPr>
        <w:rFonts w:hint="default"/>
        <w:lang w:val="en-US" w:eastAsia="en-US" w:bidi="ar-SA"/>
      </w:rPr>
    </w:lvl>
    <w:lvl w:ilvl="8" w:tplc="04FC7FF4">
      <w:numFmt w:val="bullet"/>
      <w:lvlText w:val="•"/>
      <w:lvlJc w:val="left"/>
      <w:pPr>
        <w:ind w:left="7801" w:hanging="425"/>
      </w:pPr>
      <w:rPr>
        <w:rFonts w:hint="default"/>
        <w:lang w:val="en-US" w:eastAsia="en-US" w:bidi="ar-SA"/>
      </w:rPr>
    </w:lvl>
  </w:abstractNum>
  <w:abstractNum w:abstractNumId="4">
    <w:nsid w:val="66C90BE3"/>
    <w:multiLevelType w:val="hybridMultilevel"/>
    <w:tmpl w:val="50D6777E"/>
    <w:lvl w:ilvl="0" w:tplc="BC9074A4">
      <w:numFmt w:val="bullet"/>
      <w:lvlText w:val=""/>
      <w:lvlJc w:val="left"/>
      <w:pPr>
        <w:ind w:left="856" w:hanging="360"/>
      </w:pPr>
      <w:rPr>
        <w:rFonts w:ascii="Symbol" w:eastAsia="Symbol" w:hAnsi="Symbol" w:cs="Symbol" w:hint="default"/>
        <w:w w:val="100"/>
        <w:sz w:val="22"/>
        <w:szCs w:val="22"/>
        <w:lang w:val="en-US" w:eastAsia="en-US" w:bidi="ar-SA"/>
      </w:rPr>
    </w:lvl>
    <w:lvl w:ilvl="1" w:tplc="2F287A4A">
      <w:numFmt w:val="bullet"/>
      <w:lvlText w:val="•"/>
      <w:lvlJc w:val="left"/>
      <w:pPr>
        <w:ind w:left="4280" w:hanging="360"/>
      </w:pPr>
      <w:rPr>
        <w:rFonts w:hint="default"/>
        <w:lang w:val="en-US" w:eastAsia="en-US" w:bidi="ar-SA"/>
      </w:rPr>
    </w:lvl>
    <w:lvl w:ilvl="2" w:tplc="014C20B8">
      <w:numFmt w:val="bullet"/>
      <w:lvlText w:val="•"/>
      <w:lvlJc w:val="left"/>
      <w:pPr>
        <w:ind w:left="4840" w:hanging="360"/>
      </w:pPr>
      <w:rPr>
        <w:rFonts w:hint="default"/>
        <w:lang w:val="en-US" w:eastAsia="en-US" w:bidi="ar-SA"/>
      </w:rPr>
    </w:lvl>
    <w:lvl w:ilvl="3" w:tplc="AB8451DE">
      <w:numFmt w:val="bullet"/>
      <w:lvlText w:val="•"/>
      <w:lvlJc w:val="left"/>
      <w:pPr>
        <w:ind w:left="5401" w:hanging="360"/>
      </w:pPr>
      <w:rPr>
        <w:rFonts w:hint="default"/>
        <w:lang w:val="en-US" w:eastAsia="en-US" w:bidi="ar-SA"/>
      </w:rPr>
    </w:lvl>
    <w:lvl w:ilvl="4" w:tplc="3F18105A">
      <w:numFmt w:val="bullet"/>
      <w:lvlText w:val="•"/>
      <w:lvlJc w:val="left"/>
      <w:pPr>
        <w:ind w:left="5962" w:hanging="360"/>
      </w:pPr>
      <w:rPr>
        <w:rFonts w:hint="default"/>
        <w:lang w:val="en-US" w:eastAsia="en-US" w:bidi="ar-SA"/>
      </w:rPr>
    </w:lvl>
    <w:lvl w:ilvl="5" w:tplc="CE401FCA">
      <w:numFmt w:val="bullet"/>
      <w:lvlText w:val="•"/>
      <w:lvlJc w:val="left"/>
      <w:pPr>
        <w:ind w:left="6522" w:hanging="360"/>
      </w:pPr>
      <w:rPr>
        <w:rFonts w:hint="default"/>
        <w:lang w:val="en-US" w:eastAsia="en-US" w:bidi="ar-SA"/>
      </w:rPr>
    </w:lvl>
    <w:lvl w:ilvl="6" w:tplc="0D2EE252">
      <w:numFmt w:val="bullet"/>
      <w:lvlText w:val="•"/>
      <w:lvlJc w:val="left"/>
      <w:pPr>
        <w:ind w:left="7083" w:hanging="360"/>
      </w:pPr>
      <w:rPr>
        <w:rFonts w:hint="default"/>
        <w:lang w:val="en-US" w:eastAsia="en-US" w:bidi="ar-SA"/>
      </w:rPr>
    </w:lvl>
    <w:lvl w:ilvl="7" w:tplc="E3945062">
      <w:numFmt w:val="bullet"/>
      <w:lvlText w:val="•"/>
      <w:lvlJc w:val="left"/>
      <w:pPr>
        <w:ind w:left="7644" w:hanging="360"/>
      </w:pPr>
      <w:rPr>
        <w:rFonts w:hint="default"/>
        <w:lang w:val="en-US" w:eastAsia="en-US" w:bidi="ar-SA"/>
      </w:rPr>
    </w:lvl>
    <w:lvl w:ilvl="8" w:tplc="2FBC9304">
      <w:numFmt w:val="bullet"/>
      <w:lvlText w:val="•"/>
      <w:lvlJc w:val="left"/>
      <w:pPr>
        <w:ind w:left="8204" w:hanging="360"/>
      </w:pPr>
      <w:rPr>
        <w:rFonts w:hint="default"/>
        <w:lang w:val="en-US" w:eastAsia="en-US" w:bidi="ar-SA"/>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B1A"/>
    <w:rsid w:val="000C03C7"/>
    <w:rsid w:val="000D5191"/>
    <w:rsid w:val="0013513F"/>
    <w:rsid w:val="002B046D"/>
    <w:rsid w:val="00350089"/>
    <w:rsid w:val="006961BC"/>
    <w:rsid w:val="007A5367"/>
    <w:rsid w:val="00C5364E"/>
    <w:rsid w:val="00C70B1A"/>
    <w:rsid w:val="00CA6277"/>
    <w:rsid w:val="00FF5521"/>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CFA62DA-F411-4785-884B-54FE898DF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CA6277"/>
    <w:rPr>
      <w:rFonts w:ascii="Times New Roman" w:eastAsia="Times New Roman" w:hAnsi="Times New Roman" w:cs="Times New Roman"/>
    </w:rPr>
  </w:style>
  <w:style w:type="paragraph" w:styleId="Heading1">
    <w:name w:val="heading 1"/>
    <w:basedOn w:val="Normal"/>
    <w:uiPriority w:val="1"/>
    <w:qFormat/>
    <w:rsid w:val="00CA6277"/>
    <w:pPr>
      <w:ind w:left="2001" w:right="1985"/>
      <w:jc w:val="center"/>
      <w:outlineLvl w:val="0"/>
    </w:pPr>
    <w:rPr>
      <w:b/>
      <w:bCs/>
      <w:sz w:val="28"/>
      <w:szCs w:val="28"/>
    </w:rPr>
  </w:style>
  <w:style w:type="paragraph" w:styleId="Heading2">
    <w:name w:val="heading 2"/>
    <w:basedOn w:val="Normal"/>
    <w:uiPriority w:val="1"/>
    <w:qFormat/>
    <w:rsid w:val="00CA6277"/>
    <w:pPr>
      <w:spacing w:before="203"/>
      <w:ind w:left="844" w:hanging="426"/>
      <w:outlineLvl w:val="1"/>
    </w:pPr>
    <w:rPr>
      <w:b/>
      <w:bCs/>
      <w:sz w:val="24"/>
      <w:szCs w:val="24"/>
    </w:rPr>
  </w:style>
  <w:style w:type="paragraph" w:styleId="Heading3">
    <w:name w:val="heading 3"/>
    <w:basedOn w:val="Normal"/>
    <w:uiPriority w:val="1"/>
    <w:qFormat/>
    <w:rsid w:val="00CA6277"/>
    <w:pPr>
      <w:spacing w:before="190"/>
      <w:ind w:left="611"/>
      <w:outlineLvl w:val="2"/>
    </w:pPr>
    <w:rPr>
      <w:sz w:val="24"/>
      <w:szCs w:val="24"/>
    </w:rPr>
  </w:style>
  <w:style w:type="paragraph" w:styleId="Heading4">
    <w:name w:val="heading 4"/>
    <w:basedOn w:val="Normal"/>
    <w:uiPriority w:val="1"/>
    <w:qFormat/>
    <w:rsid w:val="00CA6277"/>
    <w:pPr>
      <w:ind w:left="1269"/>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CA6277"/>
  </w:style>
  <w:style w:type="paragraph" w:styleId="ListParagraph">
    <w:name w:val="List Paragraph"/>
    <w:basedOn w:val="Normal"/>
    <w:uiPriority w:val="1"/>
    <w:qFormat/>
    <w:rsid w:val="00CA6277"/>
    <w:pPr>
      <w:spacing w:before="203"/>
      <w:ind w:left="844" w:hanging="426"/>
    </w:pPr>
  </w:style>
  <w:style w:type="paragraph" w:customStyle="1" w:styleId="TableParagraph">
    <w:name w:val="Table Paragraph"/>
    <w:basedOn w:val="Normal"/>
    <w:uiPriority w:val="1"/>
    <w:qFormat/>
    <w:rsid w:val="00CA6277"/>
  </w:style>
  <w:style w:type="paragraph" w:styleId="BalloonText">
    <w:name w:val="Balloon Text"/>
    <w:basedOn w:val="Normal"/>
    <w:link w:val="BalloonTextChar"/>
    <w:uiPriority w:val="99"/>
    <w:semiHidden/>
    <w:unhideWhenUsed/>
    <w:rsid w:val="00350089"/>
    <w:rPr>
      <w:rFonts w:ascii="Tahoma" w:hAnsi="Tahoma" w:cs="Tahoma"/>
      <w:sz w:val="16"/>
      <w:szCs w:val="16"/>
    </w:rPr>
  </w:style>
  <w:style w:type="character" w:customStyle="1" w:styleId="BalloonTextChar">
    <w:name w:val="Balloon Text Char"/>
    <w:basedOn w:val="DefaultParagraphFont"/>
    <w:link w:val="BalloonText"/>
    <w:uiPriority w:val="99"/>
    <w:semiHidden/>
    <w:rsid w:val="00350089"/>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ec.europa.eu/budget/graphs/inforeuro.html"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ebgate.ec.europa.eu/europeaid/online-services/index.cfm?do=publi.welcom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ebgate.ec.europa.eu/europeaid/online-services/index.cfm?do=publi.welcome"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ekuloski@gmail.com" TargetMode="External"/><Relationship Id="rId4" Type="http://schemas.openxmlformats.org/officeDocument/2006/relationships/webSettings" Target="webSettings.xml"/><Relationship Id="rId9" Type="http://schemas.openxmlformats.org/officeDocument/2006/relationships/hyperlink" Target="https://webgate.ec.europa.eu/europeaid/online-services/index.cfm?do=publi.welcom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proc_notice_en</vt:lpstr>
    </vt:vector>
  </TitlesOfParts>
  <Company/>
  <LinksUpToDate>false</LinksUpToDate>
  <CharactersWithSpaces>17283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creator>BOURDILLEAU Anne (DEVCO)</dc:creator>
  <cp:lastModifiedBy>Ивана Јанеска</cp:lastModifiedBy>
  <cp:revision>2</cp:revision>
  <dcterms:created xsi:type="dcterms:W3CDTF">2020-09-01T06:44:00Z</dcterms:created>
  <dcterms:modified xsi:type="dcterms:W3CDTF">2020-09-01T06:44:00Z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2020-08-31T00:00:00Z</vt:filetime>
  </property>
  <property fmtid="{D5CDD505-2E9C-101B-9397-08002B2CF9AE}" pid="3" name="Creator">
    <vt:lpwstr>Microsoft® Word 2013</vt:lpwstr>
  </property>
  <property fmtid="{D5CDD505-2E9C-101B-9397-08002B2CF9AE}" pid="4" name="LastSaved">
    <vt:filetime>2020-08-31T00:00:00Z</vt:filetime>
  </property>
</Properties>
</file>